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46AC6" w:rsidRDefault="00F92268" w:rsidP="00850792">
      <w:pPr>
        <w:pStyle w:val="BodyText"/>
        <w:rPr>
          <w:sz w:val="6"/>
          <w:szCs w:val="6"/>
        </w:rPr>
      </w:pPr>
      <w:r w:rsidRPr="00846AC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46AC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46AC6" w:rsidRDefault="00F92268" w:rsidP="000025F0">
            <w:pPr>
              <w:pStyle w:val="Header"/>
              <w:rPr>
                <w:rFonts w:cs="Arial"/>
                <w:sz w:val="16"/>
                <w:szCs w:val="16"/>
              </w:rPr>
            </w:pPr>
            <w:r w:rsidRPr="00846AC6">
              <w:rPr>
                <w:rFonts w:cs="Arial"/>
                <w:sz w:val="16"/>
                <w:szCs w:val="16"/>
              </w:rPr>
              <w:t>Reference number(s)</w:t>
            </w:r>
          </w:p>
        </w:tc>
      </w:tr>
      <w:tr w:rsidR="00F92268" w:rsidRPr="00846AC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001BA466" w14:textId="0D483DC9" w:rsidR="00F92268" w:rsidRPr="00D52574" w:rsidRDefault="00A15D0A" w:rsidP="000025F0">
            <w:pPr>
              <w:pStyle w:val="Header"/>
              <w:rPr>
                <w:rFonts w:cs="Arial"/>
                <w:sz w:val="16"/>
                <w:szCs w:val="16"/>
              </w:rPr>
            </w:pPr>
            <w:r w:rsidRPr="00D52574">
              <w:rPr>
                <w:rFonts w:cs="Arial"/>
                <w:sz w:val="16"/>
                <w:szCs w:val="16"/>
              </w:rPr>
              <w:t>6795</w:t>
            </w:r>
            <w:r w:rsidR="006F2523" w:rsidRPr="00D52574">
              <w:rPr>
                <w:rFonts w:cs="Arial"/>
                <w:sz w:val="16"/>
                <w:szCs w:val="16"/>
              </w:rPr>
              <w:t>-A</w:t>
            </w:r>
          </w:p>
          <w:p w14:paraId="562031BD" w14:textId="71175D37" w:rsidR="006F2523" w:rsidRPr="00846AC6" w:rsidRDefault="006F2523" w:rsidP="006F2523"/>
        </w:tc>
      </w:tr>
    </w:tbl>
    <w:p w14:paraId="32BC8008" w14:textId="237AA1E6" w:rsidR="006F2523" w:rsidRPr="00D52574" w:rsidRDefault="006F2523" w:rsidP="00BA17EF">
      <w:pPr>
        <w:pStyle w:val="Heading1"/>
      </w:pPr>
      <w:r w:rsidRPr="00846AC6">
        <w:t>Specialty Guideline Management</w:t>
      </w:r>
      <w:r w:rsidR="008C54D9" w:rsidRPr="00846AC6">
        <w:br/>
      </w:r>
      <w:proofErr w:type="spellStart"/>
      <w:r w:rsidR="000852A4" w:rsidRPr="00846AC6">
        <w:t>Opdivo</w:t>
      </w:r>
      <w:proofErr w:type="spellEnd"/>
      <w:r w:rsidR="00C56176" w:rsidRPr="00846AC6">
        <w:t xml:space="preserve"> </w:t>
      </w:r>
      <w:proofErr w:type="spellStart"/>
      <w:r w:rsidR="00C56176" w:rsidRPr="00846AC6">
        <w:t>Qvantig</w:t>
      </w:r>
      <w:proofErr w:type="spellEnd"/>
    </w:p>
    <w:p w14:paraId="78861C92" w14:textId="2EEB1313" w:rsidR="00203468" w:rsidRPr="00846AC6" w:rsidRDefault="00C64534" w:rsidP="006F2523">
      <w:pPr>
        <w:pStyle w:val="Heading1"/>
        <w:jc w:val="left"/>
      </w:pPr>
      <w:r w:rsidRPr="00846AC6">
        <w:rPr>
          <w:rStyle w:val="Heading2Char"/>
        </w:rPr>
        <w:t xml:space="preserve">Products Referenced by this </w:t>
      </w:r>
      <w:r w:rsidR="00501602" w:rsidRPr="00846AC6">
        <w:rPr>
          <w:rStyle w:val="Heading2Char"/>
        </w:rPr>
        <w:t>Document</w:t>
      </w:r>
    </w:p>
    <w:p w14:paraId="5455152B" w14:textId="6ED9F247" w:rsidR="008E0F0D" w:rsidRPr="00846AC6" w:rsidRDefault="00D82D85" w:rsidP="008B73E8">
      <w:pPr>
        <w:pStyle w:val="BodyText"/>
      </w:pPr>
      <w:r w:rsidRPr="00846AC6">
        <w:t xml:space="preserve">Drugs that are listed in the </w:t>
      </w:r>
      <w:r w:rsidR="000315F1" w:rsidRPr="00846AC6">
        <w:t>following table</w:t>
      </w:r>
      <w:r w:rsidRPr="00846AC6">
        <w:t xml:space="preserve"> include both brand and generic and all dosage forms and strengths unless otherwise stated. </w:t>
      </w:r>
      <w:r w:rsidR="00AF4FDA" w:rsidRPr="00846AC6">
        <w:t>Over</w:t>
      </w:r>
      <w:r w:rsidR="00D52574">
        <w:t>-</w:t>
      </w:r>
      <w:r w:rsidR="00AF4FDA" w:rsidRPr="00846AC6">
        <w:t>the</w:t>
      </w:r>
      <w:r w:rsidR="00D52574">
        <w:t>-</w:t>
      </w:r>
      <w:r w:rsidR="00AF4FDA" w:rsidRPr="00846AC6">
        <w:t>counter (</w:t>
      </w:r>
      <w:r w:rsidRPr="00846AC6">
        <w:t>OTC</w:t>
      </w:r>
      <w:r w:rsidR="00AF4FDA" w:rsidRPr="00846AC6">
        <w:t>)</w:t>
      </w:r>
      <w:r w:rsidRPr="00846AC6">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46AC6" w14:paraId="158421F8" w14:textId="77777777" w:rsidTr="000C5A6F">
        <w:trPr>
          <w:cantSplit/>
          <w:trHeight w:val="288"/>
          <w:tblHeader/>
        </w:trPr>
        <w:tc>
          <w:tcPr>
            <w:tcW w:w="5265" w:type="dxa"/>
            <w:vAlign w:val="center"/>
          </w:tcPr>
          <w:p w14:paraId="2A27354A" w14:textId="1390179E" w:rsidR="00252CE1" w:rsidRPr="00846AC6" w:rsidRDefault="00252CE1" w:rsidP="00AA1E6A">
            <w:pPr>
              <w:pStyle w:val="TableHeader"/>
            </w:pPr>
            <w:bookmarkStart w:id="0" w:name="_Hlk159603270"/>
            <w:r w:rsidRPr="00846AC6">
              <w:t>Brand Name</w:t>
            </w:r>
          </w:p>
        </w:tc>
        <w:tc>
          <w:tcPr>
            <w:tcW w:w="5595" w:type="dxa"/>
            <w:vAlign w:val="center"/>
          </w:tcPr>
          <w:p w14:paraId="3D342BE1" w14:textId="75F11EF1" w:rsidR="00252CE1" w:rsidRPr="00846AC6" w:rsidRDefault="00252CE1" w:rsidP="00AA1E6A">
            <w:pPr>
              <w:pStyle w:val="TableHeader"/>
            </w:pPr>
            <w:r w:rsidRPr="00846AC6">
              <w:t>Generic Name</w:t>
            </w:r>
          </w:p>
        </w:tc>
      </w:tr>
      <w:tr w:rsidR="00585FFF" w:rsidRPr="00846AC6" w14:paraId="2AD5C02D" w14:textId="77777777" w:rsidTr="000C5A6F">
        <w:trPr>
          <w:cantSplit/>
        </w:trPr>
        <w:tc>
          <w:tcPr>
            <w:tcW w:w="5265" w:type="dxa"/>
          </w:tcPr>
          <w:p w14:paraId="2D8FA8E3" w14:textId="2BDADA19" w:rsidR="00585FFF" w:rsidRPr="00846AC6" w:rsidRDefault="000852A4" w:rsidP="00E82ABA">
            <w:pPr>
              <w:pStyle w:val="TableDataUnpadded"/>
            </w:pPr>
            <w:proofErr w:type="spellStart"/>
            <w:r w:rsidRPr="00846AC6">
              <w:t>Opdivo</w:t>
            </w:r>
            <w:proofErr w:type="spellEnd"/>
            <w:r w:rsidR="00C56176" w:rsidRPr="00846AC6">
              <w:t xml:space="preserve"> </w:t>
            </w:r>
            <w:proofErr w:type="spellStart"/>
            <w:r w:rsidR="00C56176" w:rsidRPr="00846AC6">
              <w:t>Qvantig</w:t>
            </w:r>
            <w:proofErr w:type="spellEnd"/>
          </w:p>
        </w:tc>
        <w:tc>
          <w:tcPr>
            <w:tcW w:w="5595" w:type="dxa"/>
          </w:tcPr>
          <w:p w14:paraId="7E26A004" w14:textId="2B2859AE" w:rsidR="00585FFF" w:rsidRPr="00846AC6" w:rsidRDefault="00C56176" w:rsidP="00E82ABA">
            <w:pPr>
              <w:pStyle w:val="TableDataUnpadded"/>
            </w:pPr>
            <w:r w:rsidRPr="00846AC6">
              <w:t>nivolumab and hyaluronidase-</w:t>
            </w:r>
            <w:proofErr w:type="spellStart"/>
            <w:r w:rsidRPr="00846AC6">
              <w:t>nvhy</w:t>
            </w:r>
            <w:proofErr w:type="spellEnd"/>
          </w:p>
        </w:tc>
      </w:tr>
    </w:tbl>
    <w:bookmarkEnd w:id="0"/>
    <w:p w14:paraId="14CE6108" w14:textId="7AB2E18B" w:rsidR="00FC1AAD" w:rsidRPr="00D52574" w:rsidRDefault="00ED052F" w:rsidP="00ED052F">
      <w:pPr>
        <w:pStyle w:val="Heading2"/>
      </w:pPr>
      <w:r w:rsidRPr="00846AC6">
        <w:t>Indications</w:t>
      </w:r>
    </w:p>
    <w:p w14:paraId="208F7BA9" w14:textId="59971F28" w:rsidR="006F2523" w:rsidRPr="00846AC6" w:rsidRDefault="006F2523" w:rsidP="006F2523">
      <w:pPr>
        <w:pStyle w:val="BodyText"/>
      </w:pPr>
      <w:r w:rsidRPr="00846AC6">
        <w:t>The indications below including FDA-approved indications and compendial uses are considered a covered benefit provided that all the approval criteria are met and the member has no exclusions to the prescribed therapy.</w:t>
      </w:r>
    </w:p>
    <w:p w14:paraId="3CE8EBCF" w14:textId="77777777" w:rsidR="00CF3FAD" w:rsidRPr="00846AC6" w:rsidRDefault="00ED052F" w:rsidP="00CF3FAD">
      <w:pPr>
        <w:pStyle w:val="Heading3"/>
        <w:keepNext w:val="0"/>
        <w:rPr>
          <w:vertAlign w:val="superscript"/>
        </w:rPr>
      </w:pPr>
      <w:r w:rsidRPr="00846AC6">
        <w:t>FDA-approved Indications</w:t>
      </w:r>
      <w:r w:rsidR="006F2523" w:rsidRPr="00846AC6">
        <w:rPr>
          <w:vertAlign w:val="superscript"/>
        </w:rPr>
        <w:t>1</w:t>
      </w:r>
    </w:p>
    <w:p w14:paraId="7DAE9FB5" w14:textId="3A308EAC" w:rsidR="00C56176" w:rsidRPr="00846AC6" w:rsidRDefault="00C56176" w:rsidP="00C56176">
      <w:pPr>
        <w:pStyle w:val="Heading4"/>
      </w:pPr>
      <w:r w:rsidRPr="00846AC6">
        <w:t>Advanced Renal Cell Carcinoma</w:t>
      </w:r>
    </w:p>
    <w:p w14:paraId="2F31E415" w14:textId="299BBB7E" w:rsidR="00C56176" w:rsidRPr="00846AC6" w:rsidRDefault="00C56176" w:rsidP="00C56176">
      <w:pPr>
        <w:pStyle w:val="ListParagraph"/>
      </w:pPr>
      <w:proofErr w:type="spellStart"/>
      <w:r w:rsidRPr="00846AC6">
        <w:t>Opdivo</w:t>
      </w:r>
      <w:proofErr w:type="spellEnd"/>
      <w:r w:rsidRPr="00846AC6">
        <w:t xml:space="preserve"> </w:t>
      </w:r>
      <w:proofErr w:type="spellStart"/>
      <w:r w:rsidRPr="00846AC6">
        <w:t>Qvantig</w:t>
      </w:r>
      <w:proofErr w:type="spellEnd"/>
      <w:r w:rsidRPr="00846AC6">
        <w:t xml:space="preserve">, as monotherapy, is indicated for the </w:t>
      </w:r>
      <w:proofErr w:type="spellStart"/>
      <w:r w:rsidRPr="00846AC6">
        <w:t>the</w:t>
      </w:r>
      <w:proofErr w:type="spellEnd"/>
      <w:r w:rsidRPr="00846AC6">
        <w:t xml:space="preserve"> first-line treatment of adult patients with intermediate or poor risk advanced renal cell carcinoma (RCC) following treatment with intravenous nivolumab and ipilimumab combination therapy.</w:t>
      </w:r>
    </w:p>
    <w:p w14:paraId="4C7F9457" w14:textId="662BD365" w:rsidR="00C56176" w:rsidRPr="00846AC6" w:rsidRDefault="00C56176" w:rsidP="00C56176">
      <w:pPr>
        <w:pStyle w:val="ListParagraph"/>
      </w:pPr>
      <w:proofErr w:type="spellStart"/>
      <w:r w:rsidRPr="00846AC6">
        <w:t>Opdivo</w:t>
      </w:r>
      <w:proofErr w:type="spellEnd"/>
      <w:r w:rsidRPr="00846AC6">
        <w:t xml:space="preserve"> </w:t>
      </w:r>
      <w:proofErr w:type="spellStart"/>
      <w:r w:rsidRPr="00846AC6">
        <w:t>Qvantig</w:t>
      </w:r>
      <w:proofErr w:type="spellEnd"/>
      <w:r w:rsidRPr="00846AC6">
        <w:t>, in combination with cabozantinib, is indicated for the first-line treatment of adult patients with advanced RCC.</w:t>
      </w:r>
    </w:p>
    <w:p w14:paraId="4FAF5765" w14:textId="11521FF2" w:rsidR="00C56176" w:rsidRPr="00846AC6" w:rsidRDefault="00C56176" w:rsidP="00C56176">
      <w:pPr>
        <w:pStyle w:val="ListParagraph"/>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treatment of adult patients with advanced RCC who have received prior anti-angiogenic therapy.</w:t>
      </w:r>
    </w:p>
    <w:p w14:paraId="2CE9BEC5" w14:textId="3A6E84C9" w:rsidR="006F2523" w:rsidRPr="00846AC6" w:rsidRDefault="006F2523" w:rsidP="00CF3FAD">
      <w:pPr>
        <w:pStyle w:val="Heading4"/>
        <w:rPr>
          <w:bCs/>
          <w:sz w:val="32"/>
          <w:szCs w:val="32"/>
          <w:vertAlign w:val="superscript"/>
        </w:rPr>
      </w:pPr>
      <w:r w:rsidRPr="00846AC6">
        <w:t>Unresectable or Metastatic Melanoma</w:t>
      </w:r>
    </w:p>
    <w:p w14:paraId="1E485287" w14:textId="78E069A0" w:rsidR="006F2523" w:rsidRPr="00846AC6" w:rsidRDefault="009A1144" w:rsidP="009A1144">
      <w:pPr>
        <w:pStyle w:val="BodyText"/>
        <w:numPr>
          <w:ilvl w:val="0"/>
          <w:numId w:val="35"/>
        </w:numPr>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treatment of adult patients with unresectable or metastatic melanoma.</w:t>
      </w:r>
    </w:p>
    <w:p w14:paraId="22E03F28" w14:textId="77D79AB7" w:rsidR="009A1144" w:rsidRPr="00846AC6" w:rsidRDefault="009A1144" w:rsidP="009A1144">
      <w:pPr>
        <w:pStyle w:val="BodyText"/>
        <w:numPr>
          <w:ilvl w:val="0"/>
          <w:numId w:val="35"/>
        </w:numPr>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treatment of adult patients with unresectable or metastatic melanoma following treatment with intravenous nivolumab and ipilimumab combination therapy.</w:t>
      </w:r>
    </w:p>
    <w:p w14:paraId="32D1B716" w14:textId="2811C88C" w:rsidR="006F2523" w:rsidRPr="00846AC6" w:rsidRDefault="006F2523" w:rsidP="00CF3FAD">
      <w:pPr>
        <w:pStyle w:val="Heading4"/>
      </w:pPr>
      <w:r w:rsidRPr="00846AC6">
        <w:lastRenderedPageBreak/>
        <w:t>Adjuvant Treatment of Melanoma</w:t>
      </w:r>
    </w:p>
    <w:p w14:paraId="32698389" w14:textId="1FDD2201" w:rsidR="006F2523" w:rsidRPr="00846AC6" w:rsidRDefault="006F2523" w:rsidP="009A1144">
      <w:pPr>
        <w:pStyle w:val="BodyText"/>
      </w:pPr>
      <w:proofErr w:type="spellStart"/>
      <w:r w:rsidRPr="00846AC6">
        <w:t>Opdivo</w:t>
      </w:r>
      <w:proofErr w:type="spellEnd"/>
      <w:r w:rsidR="009A1144" w:rsidRPr="00846AC6">
        <w:t xml:space="preserve"> </w:t>
      </w:r>
      <w:proofErr w:type="spellStart"/>
      <w:r w:rsidR="009A1144" w:rsidRPr="00846AC6">
        <w:t>Qvantig</w:t>
      </w:r>
      <w:proofErr w:type="spellEnd"/>
      <w:r w:rsidR="009A1144" w:rsidRPr="00846AC6">
        <w:t>,</w:t>
      </w:r>
      <w:r w:rsidRPr="00846AC6">
        <w:t xml:space="preserve"> </w:t>
      </w:r>
      <w:r w:rsidR="009A1144" w:rsidRPr="00846AC6">
        <w:t>as monotherapy, is indicated for the adjuvant treatment of adult patients with completely resected Stage IIB, Stage IIC, Stage III, or Stage IV melanoma.</w:t>
      </w:r>
    </w:p>
    <w:p w14:paraId="080667D3" w14:textId="77777777" w:rsidR="009A1144" w:rsidRPr="00846AC6" w:rsidRDefault="009A1144" w:rsidP="009A1144">
      <w:pPr>
        <w:pStyle w:val="Heading4"/>
      </w:pPr>
      <w:r w:rsidRPr="00846AC6">
        <w:rPr>
          <w:bdr w:val="none" w:sz="0" w:space="0" w:color="auto"/>
        </w:rPr>
        <w:t>Neoadjuvant Treatment of Resectable Non-Small Cell Lung Cancer</w:t>
      </w:r>
    </w:p>
    <w:p w14:paraId="78C9B256" w14:textId="66460E81" w:rsidR="009A1144" w:rsidRPr="00846AC6" w:rsidRDefault="009A1144" w:rsidP="009A1144">
      <w:pPr>
        <w:pStyle w:val="BodyText"/>
      </w:pPr>
      <w:proofErr w:type="spellStart"/>
      <w:r w:rsidRPr="00846AC6">
        <w:t>Opdivo</w:t>
      </w:r>
      <w:proofErr w:type="spellEnd"/>
      <w:r w:rsidRPr="00846AC6">
        <w:t xml:space="preserve"> </w:t>
      </w:r>
      <w:proofErr w:type="spellStart"/>
      <w:r w:rsidRPr="00846AC6">
        <w:t>Qvantig</w:t>
      </w:r>
      <w:proofErr w:type="spellEnd"/>
      <w:r w:rsidRPr="00846AC6">
        <w:t xml:space="preserve">, in combination with platinum-doublet chemotherapy, is indicated as neoadjuvant treatment of adult patients with resectable (tumors </w:t>
      </w:r>
      <w:r w:rsidRPr="00846AC6">
        <w:rPr>
          <w:rFonts w:ascii="Arial" w:hAnsi="Arial"/>
        </w:rPr>
        <w:t>≥</w:t>
      </w:r>
      <w:r w:rsidRPr="00846AC6">
        <w:t>4 cm or node positive) non-small cell lung cancer (NSCLC).</w:t>
      </w:r>
    </w:p>
    <w:p w14:paraId="085A5AF4" w14:textId="77777777" w:rsidR="009A1144" w:rsidRPr="00846AC6" w:rsidRDefault="009A1144" w:rsidP="009A1144">
      <w:pPr>
        <w:pStyle w:val="Heading4"/>
        <w:rPr>
          <w:bdr w:val="none" w:sz="0" w:space="0" w:color="auto"/>
        </w:rPr>
      </w:pPr>
      <w:r w:rsidRPr="00846AC6">
        <w:rPr>
          <w:bdr w:val="none" w:sz="0" w:space="0" w:color="auto"/>
        </w:rPr>
        <w:t>Neoadjuvant and Adjuvant Treatment of Resectable Non-Small Cell Lung Cancer</w:t>
      </w:r>
    </w:p>
    <w:p w14:paraId="349CF824" w14:textId="01BB289B" w:rsidR="009A1144" w:rsidRPr="00846AC6" w:rsidRDefault="009A1144" w:rsidP="009A1144">
      <w:proofErr w:type="spellStart"/>
      <w:r w:rsidRPr="00846AC6">
        <w:t>Opdivo</w:t>
      </w:r>
      <w:proofErr w:type="spellEnd"/>
      <w:r w:rsidRPr="00846AC6">
        <w:t xml:space="preserve"> </w:t>
      </w:r>
      <w:proofErr w:type="spellStart"/>
      <w:r w:rsidRPr="00846AC6">
        <w:t>Qvantig</w:t>
      </w:r>
      <w:proofErr w:type="spellEnd"/>
      <w:r w:rsidRPr="00846AC6">
        <w:t xml:space="preserve">, in combination with platinum-doublet chemotherapy, is indicated for the neoadjuvant treatment of adult patients with resectable (tumors </w:t>
      </w:r>
      <w:r w:rsidRPr="00846AC6">
        <w:rPr>
          <w:rFonts w:ascii="Arial" w:hAnsi="Arial" w:cs="Arial"/>
        </w:rPr>
        <w:t>≥</w:t>
      </w:r>
      <w:r w:rsidRPr="00846AC6">
        <w:t xml:space="preserve">4 cm or node positive) NSCLC and no known epidermal growth factor receptor (EGFR) mutations or anaplastic lymphoma kinase (ALK) rearrangements, followed by </w:t>
      </w:r>
      <w:proofErr w:type="spellStart"/>
      <w:r w:rsidRPr="00846AC6">
        <w:t>Opdivo</w:t>
      </w:r>
      <w:proofErr w:type="spellEnd"/>
      <w:r w:rsidRPr="00846AC6">
        <w:t xml:space="preserve"> </w:t>
      </w:r>
      <w:proofErr w:type="spellStart"/>
      <w:r w:rsidRPr="00846AC6">
        <w:t>Qvantig</w:t>
      </w:r>
      <w:proofErr w:type="spellEnd"/>
      <w:r w:rsidRPr="00846AC6">
        <w:t xml:space="preserve"> as monotherapy in the adjuvant setting after surgical resection.</w:t>
      </w:r>
    </w:p>
    <w:p w14:paraId="20E059DD" w14:textId="33FAC49F" w:rsidR="006F2523" w:rsidRPr="00846AC6" w:rsidRDefault="006F2523" w:rsidP="00CF3FAD">
      <w:pPr>
        <w:pStyle w:val="Heading4"/>
      </w:pPr>
      <w:r w:rsidRPr="00846AC6">
        <w:t>Metastatic Non-Small Cell Lung Cancer</w:t>
      </w:r>
    </w:p>
    <w:p w14:paraId="6CD815C6" w14:textId="0826FAF0" w:rsidR="006F2523" w:rsidRPr="00846AC6" w:rsidRDefault="006F2523" w:rsidP="00144CAE">
      <w:proofErr w:type="spellStart"/>
      <w:r w:rsidRPr="00846AC6">
        <w:t>Opdivo</w:t>
      </w:r>
      <w:proofErr w:type="spellEnd"/>
      <w:r w:rsidR="00144CAE" w:rsidRPr="00846AC6">
        <w:t xml:space="preserve"> </w:t>
      </w:r>
      <w:proofErr w:type="spellStart"/>
      <w:r w:rsidR="00144CAE" w:rsidRPr="00846AC6">
        <w:t>Qvantig</w:t>
      </w:r>
      <w:proofErr w:type="spellEnd"/>
      <w:r w:rsidR="00144CAE" w:rsidRPr="00846AC6">
        <w:t xml:space="preserve">, as monotherapy, is indicated for the treatment of adult patients with metastatic non-small cell lung cancer (NSCLC) with progression on or after platinum-based chemotherapy. Patients with EGFR or ALK genomic tumor aberrations should have disease progression on FDA-approved therapy for these aberrations prior to receiving </w:t>
      </w:r>
      <w:proofErr w:type="spellStart"/>
      <w:r w:rsidRPr="00846AC6">
        <w:t>Opdivo</w:t>
      </w:r>
      <w:proofErr w:type="spellEnd"/>
      <w:r w:rsidR="00144CAE" w:rsidRPr="00846AC6">
        <w:t xml:space="preserve"> </w:t>
      </w:r>
      <w:proofErr w:type="spellStart"/>
      <w:r w:rsidR="00144CAE" w:rsidRPr="00846AC6">
        <w:t>Qvantig</w:t>
      </w:r>
      <w:proofErr w:type="spellEnd"/>
      <w:r w:rsidRPr="00846AC6">
        <w:t>.</w:t>
      </w:r>
    </w:p>
    <w:p w14:paraId="678DC103" w14:textId="4F0772C6" w:rsidR="00144CAE" w:rsidRPr="00846AC6" w:rsidRDefault="00144CAE" w:rsidP="00144CAE">
      <w:pPr>
        <w:pStyle w:val="Heading4"/>
      </w:pPr>
      <w:r w:rsidRPr="00846AC6">
        <w:t>Squamous Cell Carcinoma of the Head and Neck</w:t>
      </w:r>
    </w:p>
    <w:p w14:paraId="4432831B" w14:textId="51094535" w:rsidR="00144CAE" w:rsidRPr="00846AC6" w:rsidRDefault="00144CAE" w:rsidP="00144CAE">
      <w:pPr>
        <w:pStyle w:val="BodyText"/>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treatment of adult patients with recurrent or metastatic squamous cell carcinoma of the head and neck (SCCHN) with disease progression on or after platinum-based therapy.</w:t>
      </w:r>
    </w:p>
    <w:p w14:paraId="6198C1E3" w14:textId="77777777" w:rsidR="00144CAE" w:rsidRPr="00846AC6" w:rsidRDefault="00144CAE" w:rsidP="00144CAE">
      <w:pPr>
        <w:pStyle w:val="Heading4"/>
      </w:pPr>
      <w:r w:rsidRPr="00846AC6">
        <w:t>Urothelial Carcinoma</w:t>
      </w:r>
    </w:p>
    <w:p w14:paraId="3C52FD1A" w14:textId="4E4EA98C" w:rsidR="00144CAE" w:rsidRPr="00846AC6" w:rsidRDefault="00144CAE" w:rsidP="00144CAE">
      <w:pPr>
        <w:pStyle w:val="ListParagraph"/>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adjuvant treatment of adult patients with urothelial carcinoma (UC) who are at high risk of recurrence after undergoing radical resection of UC.</w:t>
      </w:r>
    </w:p>
    <w:p w14:paraId="56C4ADE7" w14:textId="17FC8227" w:rsidR="00144CAE" w:rsidRPr="00846AC6" w:rsidRDefault="00144CAE" w:rsidP="00144CAE">
      <w:pPr>
        <w:pStyle w:val="ListParagraph"/>
      </w:pPr>
      <w:proofErr w:type="spellStart"/>
      <w:r w:rsidRPr="00846AC6">
        <w:t>Opdivo</w:t>
      </w:r>
      <w:proofErr w:type="spellEnd"/>
      <w:r w:rsidR="00DD0488" w:rsidRPr="00846AC6">
        <w:t xml:space="preserve"> </w:t>
      </w:r>
      <w:proofErr w:type="spellStart"/>
      <w:r w:rsidR="00DD0488" w:rsidRPr="00846AC6">
        <w:t>Qvantig</w:t>
      </w:r>
      <w:proofErr w:type="spellEnd"/>
      <w:r w:rsidRPr="00846AC6">
        <w:t xml:space="preserve">, in combination with cisplatin and gemcitabine, is indicated for the first-line treatment of adult patients with unresectable or metastatic </w:t>
      </w:r>
      <w:r w:rsidR="00DD0488" w:rsidRPr="00846AC6">
        <w:t>UC</w:t>
      </w:r>
      <w:r w:rsidRPr="00846AC6">
        <w:t>.</w:t>
      </w:r>
    </w:p>
    <w:p w14:paraId="5250607E" w14:textId="72F8BB72" w:rsidR="00144CAE" w:rsidRPr="00846AC6" w:rsidRDefault="00144CAE" w:rsidP="00144CAE">
      <w:pPr>
        <w:pStyle w:val="ListParagraph"/>
      </w:pPr>
      <w:proofErr w:type="spellStart"/>
      <w:r w:rsidRPr="00846AC6">
        <w:t>Opdivo</w:t>
      </w:r>
      <w:proofErr w:type="spellEnd"/>
      <w:r w:rsidRPr="00846AC6">
        <w:t xml:space="preserve"> </w:t>
      </w:r>
      <w:proofErr w:type="spellStart"/>
      <w:r w:rsidR="00DD0488" w:rsidRPr="00846AC6">
        <w:t>Qvantig</w:t>
      </w:r>
      <w:proofErr w:type="spellEnd"/>
      <w:r w:rsidR="00DD0488" w:rsidRPr="00846AC6">
        <w:t xml:space="preserve">, as monotherapy, </w:t>
      </w:r>
      <w:r w:rsidRPr="00846AC6">
        <w:t xml:space="preserve">is indicated for the treatment of adult patients with locally advanced or metastatic </w:t>
      </w:r>
      <w:r w:rsidR="00DD0488" w:rsidRPr="00846AC6">
        <w:t>UC</w:t>
      </w:r>
      <w:r w:rsidRPr="00846AC6">
        <w:t xml:space="preserve"> who:</w:t>
      </w:r>
    </w:p>
    <w:p w14:paraId="709298FD" w14:textId="5986E7C3" w:rsidR="00144CAE" w:rsidRPr="00846AC6" w:rsidRDefault="00DD0488" w:rsidP="00144CAE">
      <w:pPr>
        <w:pStyle w:val="ListParagraph"/>
        <w:numPr>
          <w:ilvl w:val="1"/>
          <w:numId w:val="21"/>
        </w:numPr>
      </w:pPr>
      <w:r w:rsidRPr="00846AC6">
        <w:t>h</w:t>
      </w:r>
      <w:r w:rsidR="00144CAE" w:rsidRPr="00846AC6">
        <w:t>ave disease progression during or following platinum-containing chemotherapy</w:t>
      </w:r>
    </w:p>
    <w:p w14:paraId="43040C3C" w14:textId="78B0BE6B" w:rsidR="00144CAE" w:rsidRPr="00846AC6" w:rsidRDefault="00DD0488" w:rsidP="00144CAE">
      <w:pPr>
        <w:pStyle w:val="ListParagraph"/>
        <w:numPr>
          <w:ilvl w:val="1"/>
          <w:numId w:val="21"/>
        </w:numPr>
      </w:pPr>
      <w:r w:rsidRPr="00846AC6">
        <w:t>h</w:t>
      </w:r>
      <w:r w:rsidR="00144CAE" w:rsidRPr="00846AC6">
        <w:t>ave disease progression within 12 months of neoadjuvant or adjuvant treatment with platinum-containing chemotherapy.</w:t>
      </w:r>
    </w:p>
    <w:p w14:paraId="12817A74" w14:textId="77777777" w:rsidR="006E0D09" w:rsidRPr="00846AC6" w:rsidRDefault="006E0D09" w:rsidP="006E0D09">
      <w:pPr>
        <w:pStyle w:val="Heading4"/>
      </w:pPr>
      <w:r w:rsidRPr="00846AC6">
        <w:rPr>
          <w:bdr w:val="none" w:sz="0" w:space="0" w:color="auto"/>
        </w:rPr>
        <w:t>Microsatellite Instability-High or Mismatch Repair Deficient Metastatic Colorectal Cancer</w:t>
      </w:r>
    </w:p>
    <w:p w14:paraId="3649DFF2" w14:textId="0C5835ED" w:rsidR="006F2523" w:rsidRPr="00846AC6" w:rsidRDefault="006E0D09" w:rsidP="006E0D09">
      <w:pPr>
        <w:pStyle w:val="BodyText"/>
      </w:pPr>
      <w:proofErr w:type="spellStart"/>
      <w:r w:rsidRPr="00846AC6">
        <w:t>Opdivo</w:t>
      </w:r>
      <w:proofErr w:type="spellEnd"/>
      <w:r w:rsidRPr="00846AC6">
        <w:t xml:space="preserve"> </w:t>
      </w:r>
      <w:proofErr w:type="spellStart"/>
      <w:r w:rsidRPr="00846AC6">
        <w:t>Qvantig</w:t>
      </w:r>
      <w:proofErr w:type="spellEnd"/>
      <w:r w:rsidRPr="00846AC6">
        <w:t>, as monotherapy or as monotherapy following treatment with intravenous nivolumab and ipilimumab combination therapy, is indicated for the treatment of adult patients with microsatellite</w:t>
      </w:r>
      <w:r w:rsidR="00886A08" w:rsidRPr="00846AC6">
        <w:t xml:space="preserve"> </w:t>
      </w:r>
      <w:r w:rsidRPr="00846AC6">
        <w:t>instability-high (MSI-H) or mismatch repair deficient (dMMR) metastatic CRC that has progressed following treatment with a fluoropyrimidine, oxaliplatin, and irinotecan.</w:t>
      </w:r>
    </w:p>
    <w:p w14:paraId="293F6897" w14:textId="77777777" w:rsidR="006E0D09" w:rsidRPr="00846AC6" w:rsidRDefault="006E0D09" w:rsidP="006E0D09">
      <w:pPr>
        <w:pStyle w:val="Heading4"/>
      </w:pPr>
      <w:r w:rsidRPr="00846AC6">
        <w:t>Hepatocellular Carcinoma</w:t>
      </w:r>
    </w:p>
    <w:p w14:paraId="009C2806" w14:textId="4ADF39A0" w:rsidR="006E0D09" w:rsidRPr="00846AC6" w:rsidRDefault="006E0D09" w:rsidP="006E0D09">
      <w:pPr>
        <w:pStyle w:val="BodyText"/>
      </w:pPr>
      <w:proofErr w:type="spellStart"/>
      <w:r w:rsidRPr="00846AC6">
        <w:t>Opdivo</w:t>
      </w:r>
      <w:proofErr w:type="spellEnd"/>
      <w:r w:rsidRPr="00846AC6">
        <w:t xml:space="preserve"> </w:t>
      </w:r>
      <w:proofErr w:type="spellStart"/>
      <w:r w:rsidRPr="00846AC6">
        <w:t>Qvantig</w:t>
      </w:r>
      <w:proofErr w:type="spellEnd"/>
      <w:r w:rsidRPr="00846AC6">
        <w:t>, as monotherapy, is indicated for the treatment of adult patients with hepatocellular carcinoma (HCC) who have been previously treated with sorafenib and following treatment with intravenous nivolumab and ipilimumab.</w:t>
      </w:r>
    </w:p>
    <w:p w14:paraId="4D0BB958" w14:textId="77777777" w:rsidR="006E0D09" w:rsidRPr="00846AC6" w:rsidRDefault="006E0D09" w:rsidP="006E0D09">
      <w:pPr>
        <w:pStyle w:val="Heading4"/>
      </w:pPr>
      <w:r w:rsidRPr="00846AC6">
        <w:t>Esophageal Carcinoma</w:t>
      </w:r>
    </w:p>
    <w:p w14:paraId="2BBA1E3D" w14:textId="0B61E0AB" w:rsidR="006E0D09" w:rsidRPr="00846AC6" w:rsidRDefault="006E0D09" w:rsidP="006E0D09">
      <w:pPr>
        <w:pStyle w:val="ListParagraph"/>
      </w:pPr>
      <w:bookmarkStart w:id="1" w:name="_Hlk186812359"/>
      <w:proofErr w:type="spellStart"/>
      <w:r w:rsidRPr="00846AC6">
        <w:t>Opdivo</w:t>
      </w:r>
      <w:proofErr w:type="spellEnd"/>
      <w:r w:rsidRPr="00846AC6">
        <w:t xml:space="preserve"> </w:t>
      </w:r>
      <w:proofErr w:type="spellStart"/>
      <w:r w:rsidRPr="00846AC6">
        <w:t>Qvantig</w:t>
      </w:r>
      <w:proofErr w:type="spellEnd"/>
      <w:r w:rsidRPr="00846AC6">
        <w:t xml:space="preserve">, </w:t>
      </w:r>
      <w:bookmarkEnd w:id="1"/>
      <w:r w:rsidRPr="00846AC6">
        <w:t xml:space="preserve">as monotherapy, is indicated for the adjuvant treatment of completely resected esophageal or gastroesophageal junction cancer with residual pathologic disease in adult patients who have received neoadjuvant chemoradiotherapy (CRT). </w:t>
      </w:r>
    </w:p>
    <w:p w14:paraId="7F446B69" w14:textId="58CD4D65" w:rsidR="006E0D09" w:rsidRPr="00846AC6" w:rsidRDefault="006E0D09" w:rsidP="006E0D09">
      <w:pPr>
        <w:pStyle w:val="ListParagraph"/>
      </w:pPr>
      <w:proofErr w:type="spellStart"/>
      <w:r w:rsidRPr="00846AC6">
        <w:t>Opdivo</w:t>
      </w:r>
      <w:proofErr w:type="spellEnd"/>
      <w:r w:rsidRPr="00846AC6">
        <w:t xml:space="preserve"> </w:t>
      </w:r>
      <w:proofErr w:type="spellStart"/>
      <w:r w:rsidRPr="00846AC6">
        <w:t>Qvantig</w:t>
      </w:r>
      <w:proofErr w:type="spellEnd"/>
      <w:r w:rsidRPr="00846AC6">
        <w:t>, in combination with fluoropyrimidine- and platinum-containing chemotherapy, is indicated for the first-line treatment of adult patients with unresectable advanced or metastatic esophageal squamous cell carcinoma (ESCC).</w:t>
      </w:r>
    </w:p>
    <w:p w14:paraId="7A357903" w14:textId="27BD33FB" w:rsidR="006E0D09" w:rsidRPr="00846AC6" w:rsidRDefault="00166843" w:rsidP="006E0D09">
      <w:pPr>
        <w:pStyle w:val="ListParagraph"/>
      </w:pPr>
      <w:proofErr w:type="spellStart"/>
      <w:r w:rsidRPr="00846AC6">
        <w:t>Opdivo</w:t>
      </w:r>
      <w:proofErr w:type="spellEnd"/>
      <w:r w:rsidRPr="00846AC6">
        <w:t xml:space="preserve"> </w:t>
      </w:r>
      <w:proofErr w:type="spellStart"/>
      <w:r w:rsidRPr="00846AC6">
        <w:t>Qvantig</w:t>
      </w:r>
      <w:proofErr w:type="spellEnd"/>
      <w:r w:rsidRPr="00846AC6">
        <w:t>, as monotherapy,</w:t>
      </w:r>
      <w:r w:rsidR="006E0D09" w:rsidRPr="00846AC6">
        <w:t xml:space="preserve"> is indicated for the treatment of adult patients with unresectable advanced, recurrent or metastatic ESCC after prior fluoropyrimidine- and platinum-based chemotherapy.</w:t>
      </w:r>
    </w:p>
    <w:p w14:paraId="07773B23" w14:textId="77777777" w:rsidR="00166843" w:rsidRPr="00846AC6" w:rsidRDefault="00166843" w:rsidP="00166843">
      <w:pPr>
        <w:pStyle w:val="Heading4"/>
      </w:pPr>
      <w:r w:rsidRPr="00846AC6">
        <w:t>Gastric Cancer, Gastroesophageal Junction Cancer, Esophageal Adenocarcinoma</w:t>
      </w:r>
    </w:p>
    <w:p w14:paraId="04245488" w14:textId="5813AB8C" w:rsidR="00166843" w:rsidRPr="00846AC6" w:rsidRDefault="00166843" w:rsidP="00166843">
      <w:pPr>
        <w:pStyle w:val="BodyText"/>
        <w:rPr>
          <w:bCs/>
        </w:rPr>
      </w:pPr>
      <w:proofErr w:type="spellStart"/>
      <w:r w:rsidRPr="00846AC6">
        <w:t>Opdivo</w:t>
      </w:r>
      <w:proofErr w:type="spellEnd"/>
      <w:r w:rsidRPr="00846AC6">
        <w:t xml:space="preserve"> </w:t>
      </w:r>
      <w:proofErr w:type="spellStart"/>
      <w:r w:rsidRPr="00846AC6">
        <w:t>Qvantig</w:t>
      </w:r>
      <w:proofErr w:type="spellEnd"/>
      <w:r w:rsidRPr="00846AC6">
        <w:t>, in combination with fluoropyrimidine- and platinum-containing chemotherapy, is indicated for the treatment of adult patients with advanced or metastatic gastric cancer, gastroesophageal junction cancer, and esophageal adenocarcinoma.</w:t>
      </w:r>
    </w:p>
    <w:p w14:paraId="17462EDB" w14:textId="0AE59488" w:rsidR="00C76758" w:rsidRPr="00846AC6" w:rsidRDefault="00C76758" w:rsidP="00C76758">
      <w:pPr>
        <w:pStyle w:val="Heading5"/>
      </w:pPr>
      <w:r w:rsidRPr="00846AC6">
        <w:t>Limitations of use:</w:t>
      </w:r>
    </w:p>
    <w:p w14:paraId="55FE1B4D" w14:textId="7A875862" w:rsidR="00C76758" w:rsidRPr="00846AC6" w:rsidRDefault="00C76758" w:rsidP="00C76758">
      <w:proofErr w:type="spellStart"/>
      <w:r w:rsidRPr="00846AC6">
        <w:t>Opdivo</w:t>
      </w:r>
      <w:proofErr w:type="spellEnd"/>
      <w:r w:rsidRPr="00846AC6">
        <w:t xml:space="preserve"> </w:t>
      </w:r>
      <w:proofErr w:type="spellStart"/>
      <w:r w:rsidRPr="00846AC6">
        <w:t>Qvantig</w:t>
      </w:r>
      <w:proofErr w:type="spellEnd"/>
      <w:r w:rsidRPr="00846AC6">
        <w:t xml:space="preserve"> is not indicated in combination with ipilimumab for the treatment of renal cell carcinoma, unresectable or metastatic melanoma, metastatic NSCLC, MSI-H or dMMR metastatic CRC, HCC, or unresectable advanced or metastatic ESCC.</w:t>
      </w:r>
    </w:p>
    <w:p w14:paraId="1BBF6FB4" w14:textId="581E2F7D" w:rsidR="007E0684" w:rsidRPr="00846AC6" w:rsidRDefault="007E0684">
      <w:pPr>
        <w:pStyle w:val="Heading3"/>
        <w:rPr>
          <w:lang w:val="it-IT"/>
        </w:rPr>
      </w:pPr>
      <w:r w:rsidRPr="00846AC6">
        <w:rPr>
          <w:lang w:val="it-IT"/>
        </w:rPr>
        <w:t>Compendial Use</w:t>
      </w:r>
      <w:r w:rsidRPr="00846AC6">
        <w:rPr>
          <w:vertAlign w:val="superscript"/>
          <w:lang w:val="it-IT"/>
        </w:rPr>
        <w:t>2</w:t>
      </w:r>
    </w:p>
    <w:p w14:paraId="2EDFBEB7" w14:textId="402A83C9" w:rsidR="007E0684" w:rsidRPr="00846AC6" w:rsidRDefault="007E0684" w:rsidP="007E0684">
      <w:pPr>
        <w:pStyle w:val="BodyText"/>
      </w:pPr>
      <w:r w:rsidRPr="00846AC6">
        <w:t>Renal cell carcinoma</w:t>
      </w:r>
      <w:r w:rsidR="0091539F" w:rsidRPr="00846AC6">
        <w:t xml:space="preserve"> as substitute for IV nivolumab</w:t>
      </w:r>
    </w:p>
    <w:p w14:paraId="36381B6D" w14:textId="30A38EA3" w:rsidR="000D2496" w:rsidRPr="00846AC6" w:rsidRDefault="000D2496" w:rsidP="000D2496">
      <w:pPr>
        <w:pStyle w:val="Heading2"/>
      </w:pPr>
      <w:r w:rsidRPr="00846AC6">
        <w:t>Documentation</w:t>
      </w:r>
    </w:p>
    <w:p w14:paraId="2180ED6E" w14:textId="1A9A95F5" w:rsidR="000D2496" w:rsidRPr="00846AC6" w:rsidRDefault="000D2496" w:rsidP="000D2496">
      <w:pPr>
        <w:pStyle w:val="BodyText"/>
      </w:pPr>
      <w:r w:rsidRPr="00846AC6">
        <w:t>Submission of the following information is necessary to initiate the prior authorization review:</w:t>
      </w:r>
    </w:p>
    <w:p w14:paraId="534E1E2C" w14:textId="1D01A6B1" w:rsidR="00E26806" w:rsidRPr="00846AC6" w:rsidRDefault="00E26806" w:rsidP="00E26806">
      <w:pPr>
        <w:pStyle w:val="ListParagraph"/>
      </w:pPr>
      <w:r w:rsidRPr="00846AC6">
        <w:t>Documentation of laboratory report confirming MSI-H</w:t>
      </w:r>
      <w:r w:rsidR="00166843" w:rsidRPr="00846AC6">
        <w:t xml:space="preserve"> or</w:t>
      </w:r>
      <w:r w:rsidRPr="00846AC6">
        <w:t xml:space="preserve"> mismatch repair deficient (dMMR</w:t>
      </w:r>
      <w:r w:rsidR="00166843" w:rsidRPr="00846AC6">
        <w:t xml:space="preserve">) </w:t>
      </w:r>
      <w:r w:rsidRPr="00846AC6">
        <w:t>tumor status, where applicable.</w:t>
      </w:r>
    </w:p>
    <w:p w14:paraId="5ADBE9F3" w14:textId="40E5CEA9" w:rsidR="00E26806" w:rsidRPr="00846AC6" w:rsidRDefault="00E26806" w:rsidP="00E26806">
      <w:pPr>
        <w:pStyle w:val="ListParagraph"/>
      </w:pPr>
      <w:r w:rsidRPr="00846AC6">
        <w:t>Documentation of EGFR mutation or ALK rearrangement</w:t>
      </w:r>
      <w:r w:rsidR="00CC04C3" w:rsidRPr="00846AC6">
        <w:t xml:space="preserve"> status</w:t>
      </w:r>
      <w:r w:rsidRPr="00846AC6">
        <w:t>, where applicable.</w:t>
      </w:r>
    </w:p>
    <w:p w14:paraId="65A12794" w14:textId="62C02F9E" w:rsidR="000D5101" w:rsidRPr="00846AC6" w:rsidRDefault="004715CD" w:rsidP="00E050E1">
      <w:pPr>
        <w:pStyle w:val="Heading2"/>
      </w:pPr>
      <w:r w:rsidRPr="00846AC6">
        <w:t>Exclusions</w:t>
      </w:r>
    </w:p>
    <w:p w14:paraId="79C47276" w14:textId="60318042" w:rsidR="00C75C02" w:rsidRPr="00846AC6" w:rsidRDefault="00E26806" w:rsidP="00C75C02">
      <w:pPr>
        <w:pStyle w:val="BodyText"/>
      </w:pPr>
      <w:r w:rsidRPr="00846AC6">
        <w:t>Coverage will not be provided for members who have experienced disease progression while on programmed death receptor-1 (PD-1) or programmed death ligand 1 (PD-L1) inhibitor therapy</w:t>
      </w:r>
      <w:r w:rsidR="009F3B0E" w:rsidRPr="00846AC6">
        <w:t>.</w:t>
      </w:r>
    </w:p>
    <w:p w14:paraId="50A38FBA" w14:textId="5BD65154" w:rsidR="00FE0C63" w:rsidRPr="00124BE8" w:rsidRDefault="00685107" w:rsidP="00E050E1">
      <w:pPr>
        <w:pStyle w:val="Heading2"/>
      </w:pPr>
      <w:r w:rsidRPr="00846AC6">
        <w:t>Coverage Criteria</w:t>
      </w:r>
    </w:p>
    <w:p w14:paraId="04EE7B64" w14:textId="2A63A561" w:rsidR="00166843" w:rsidRPr="00846AC6" w:rsidRDefault="00166843" w:rsidP="00166843">
      <w:pPr>
        <w:pStyle w:val="Heading3"/>
      </w:pPr>
      <w:r w:rsidRPr="00846AC6">
        <w:t>Renal Cell Carcinoma</w:t>
      </w:r>
      <w:r w:rsidRPr="00846AC6">
        <w:rPr>
          <w:vertAlign w:val="superscript"/>
        </w:rPr>
        <w:t>1</w:t>
      </w:r>
      <w:r w:rsidR="00D450AE" w:rsidRPr="00846AC6">
        <w:rPr>
          <w:vertAlign w:val="superscript"/>
        </w:rPr>
        <w:t>,2</w:t>
      </w:r>
    </w:p>
    <w:p w14:paraId="4C00658C" w14:textId="2622DCD6" w:rsidR="00166843" w:rsidRPr="00846AC6" w:rsidRDefault="00166843" w:rsidP="00166843">
      <w:pPr>
        <w:pStyle w:val="BodyText"/>
      </w:pPr>
      <w:r w:rsidRPr="00846AC6">
        <w:t xml:space="preserve">Authorization of 6 months may be granted for treatment </w:t>
      </w:r>
      <w:r w:rsidR="0091539F" w:rsidRPr="00846AC6">
        <w:t>of renal cell carcinoma when the requested medication will be used</w:t>
      </w:r>
      <w:r w:rsidR="008E4C31" w:rsidRPr="00846AC6">
        <w:t xml:space="preserve"> in any of the following settings</w:t>
      </w:r>
      <w:r w:rsidRPr="00846AC6">
        <w:t>:</w:t>
      </w:r>
    </w:p>
    <w:p w14:paraId="10DE37E0" w14:textId="2FB708E7" w:rsidR="00166843" w:rsidRPr="00846AC6" w:rsidRDefault="0091539F" w:rsidP="00166843">
      <w:pPr>
        <w:pStyle w:val="ListParagraph"/>
      </w:pPr>
      <w:r w:rsidRPr="00846AC6">
        <w:t>As</w:t>
      </w:r>
      <w:r w:rsidR="00166843" w:rsidRPr="00846AC6">
        <w:t xml:space="preserve"> a single agent </w:t>
      </w:r>
      <w:r w:rsidR="00CC04C3" w:rsidRPr="00846AC6">
        <w:t>for the</w:t>
      </w:r>
      <w:r w:rsidR="00166843" w:rsidRPr="00846AC6">
        <w:t xml:space="preserve"> first-line treatment of intermediate or poor risk advanced renal cell carcinoma (RCC) following treatment with intravenous nivolumab and ipilimumab combination therapy.</w:t>
      </w:r>
    </w:p>
    <w:p w14:paraId="2B3280FD" w14:textId="2470D502" w:rsidR="00D450AE" w:rsidRPr="00846AC6" w:rsidRDefault="0091539F" w:rsidP="00D450AE">
      <w:pPr>
        <w:pStyle w:val="ListParagraph"/>
      </w:pPr>
      <w:r w:rsidRPr="00846AC6">
        <w:t>As</w:t>
      </w:r>
      <w:r w:rsidR="00D450AE" w:rsidRPr="00846AC6">
        <w:t xml:space="preserve"> a single agent for clear cell histology as subsequent therapy.</w:t>
      </w:r>
    </w:p>
    <w:p w14:paraId="4B8B2A33" w14:textId="0B657F35" w:rsidR="00D450AE" w:rsidRPr="00846AC6" w:rsidRDefault="0091539F" w:rsidP="00D450AE">
      <w:pPr>
        <w:pStyle w:val="ListParagraph"/>
      </w:pPr>
      <w:r w:rsidRPr="00846AC6">
        <w:t>As</w:t>
      </w:r>
      <w:r w:rsidR="00D450AE" w:rsidRPr="00846AC6">
        <w:t xml:space="preserve"> a single agent for non-clear cell histology.</w:t>
      </w:r>
    </w:p>
    <w:p w14:paraId="4331E993" w14:textId="4FE12FE2" w:rsidR="00166843" w:rsidRPr="00846AC6" w:rsidRDefault="0091539F" w:rsidP="00B37B0F">
      <w:pPr>
        <w:pStyle w:val="ListParagraph"/>
      </w:pPr>
      <w:r w:rsidRPr="00846AC6">
        <w:t>In</w:t>
      </w:r>
      <w:r w:rsidR="00166843" w:rsidRPr="00846AC6">
        <w:t xml:space="preserve"> combination with cabozantinib</w:t>
      </w:r>
      <w:r w:rsidR="007475C6" w:rsidRPr="00846AC6">
        <w:t>.</w:t>
      </w:r>
    </w:p>
    <w:p w14:paraId="11849C14" w14:textId="56D8D743" w:rsidR="00E26806" w:rsidRPr="00846AC6" w:rsidRDefault="00E26806" w:rsidP="00592DE0">
      <w:pPr>
        <w:pStyle w:val="Heading3"/>
      </w:pPr>
      <w:r w:rsidRPr="00846AC6">
        <w:t>Melanoma</w:t>
      </w:r>
      <w:r w:rsidRPr="00846AC6">
        <w:rPr>
          <w:vertAlign w:val="superscript"/>
        </w:rPr>
        <w:t>1</w:t>
      </w:r>
    </w:p>
    <w:p w14:paraId="276465F0" w14:textId="78EF25E4" w:rsidR="00E26806" w:rsidRPr="00846AC6" w:rsidRDefault="00E26806" w:rsidP="00592DE0">
      <w:pPr>
        <w:pStyle w:val="BodyText"/>
      </w:pPr>
      <w:r w:rsidRPr="00846AC6">
        <w:t xml:space="preserve">Authorization of 6 months may be granted for treatment of melanoma </w:t>
      </w:r>
      <w:r w:rsidR="0091539F" w:rsidRPr="00846AC6">
        <w:t>when the requested medication will be used</w:t>
      </w:r>
      <w:r w:rsidR="008E4C31" w:rsidRPr="00846AC6">
        <w:t xml:space="preserve"> in either of the following settings</w:t>
      </w:r>
      <w:r w:rsidRPr="00846AC6">
        <w:t>:</w:t>
      </w:r>
    </w:p>
    <w:p w14:paraId="51A76447" w14:textId="781A1E03" w:rsidR="00E26806" w:rsidRPr="00846AC6" w:rsidRDefault="0091539F" w:rsidP="00E26806">
      <w:pPr>
        <w:pStyle w:val="ListParagraph"/>
      </w:pPr>
      <w:r w:rsidRPr="00846AC6">
        <w:t xml:space="preserve">As </w:t>
      </w:r>
      <w:r w:rsidR="00E26806" w:rsidRPr="00846AC6">
        <w:t>a single agent for unresectable or metastatic disease.</w:t>
      </w:r>
    </w:p>
    <w:p w14:paraId="1DBEEB8F" w14:textId="060FD32F" w:rsidR="00E26806" w:rsidRPr="00846AC6" w:rsidRDefault="0091539F" w:rsidP="00E26806">
      <w:pPr>
        <w:pStyle w:val="ListParagraph"/>
      </w:pPr>
      <w:r w:rsidRPr="00846AC6">
        <w:t>A</w:t>
      </w:r>
      <w:r w:rsidR="00E26806" w:rsidRPr="00846AC6">
        <w:t xml:space="preserve">s a single agent </w:t>
      </w:r>
      <w:r w:rsidR="009A5C06" w:rsidRPr="00846AC6">
        <w:t>for adjuvant treatment of completely resected Stage IIB, Stage IIC, Stage III, or Stage IV disease.</w:t>
      </w:r>
    </w:p>
    <w:p w14:paraId="5A18B7A0" w14:textId="5BE0D992" w:rsidR="00E26806" w:rsidRPr="00846AC6" w:rsidRDefault="00E26806" w:rsidP="00592DE0">
      <w:pPr>
        <w:pStyle w:val="Heading3"/>
      </w:pPr>
      <w:r w:rsidRPr="00846AC6">
        <w:t>Non-Small Cell Lung Cancer (NSCLC)</w:t>
      </w:r>
      <w:r w:rsidRPr="00846AC6">
        <w:rPr>
          <w:vertAlign w:val="superscript"/>
        </w:rPr>
        <w:t>1</w:t>
      </w:r>
    </w:p>
    <w:p w14:paraId="01496D9D" w14:textId="54CB1034" w:rsidR="00E26806" w:rsidRPr="00846AC6" w:rsidRDefault="00E26806" w:rsidP="00E26806">
      <w:pPr>
        <w:pStyle w:val="ListParagraph"/>
      </w:pPr>
      <w:r w:rsidRPr="00846AC6">
        <w:t xml:space="preserve">Authorization of 6 months may be granted for treatment of metastatic non-small cell lung cancer </w:t>
      </w:r>
      <w:r w:rsidR="00D54800" w:rsidRPr="00846AC6">
        <w:t xml:space="preserve">when </w:t>
      </w:r>
      <w:r w:rsidR="0091539F" w:rsidRPr="00846AC6">
        <w:t>all</w:t>
      </w:r>
      <w:r w:rsidR="00D54800" w:rsidRPr="00846AC6">
        <w:t xml:space="preserve"> </w:t>
      </w:r>
      <w:r w:rsidRPr="00846AC6">
        <w:t>of the following criteria are met:</w:t>
      </w:r>
    </w:p>
    <w:p w14:paraId="256B9EA6" w14:textId="3CDE193E" w:rsidR="0091539F" w:rsidRPr="00846AC6" w:rsidRDefault="00CC04C3" w:rsidP="0091539F">
      <w:pPr>
        <w:pStyle w:val="ListParagraph"/>
        <w:numPr>
          <w:ilvl w:val="1"/>
          <w:numId w:val="21"/>
        </w:numPr>
      </w:pPr>
      <w:r w:rsidRPr="00846AC6">
        <w:t>If member has EGFR mutations or ALK rearrangements, disease has progressed on FDA-approved targeted therapy</w:t>
      </w:r>
    </w:p>
    <w:p w14:paraId="78FED681" w14:textId="6C1DF230" w:rsidR="00E26806" w:rsidRPr="00846AC6" w:rsidRDefault="00E26806" w:rsidP="00592DE0">
      <w:pPr>
        <w:pStyle w:val="ListParagraph"/>
        <w:numPr>
          <w:ilvl w:val="1"/>
          <w:numId w:val="21"/>
        </w:numPr>
      </w:pPr>
      <w:r w:rsidRPr="00846AC6">
        <w:t>The</w:t>
      </w:r>
      <w:r w:rsidR="005F43BB" w:rsidRPr="00846AC6">
        <w:t xml:space="preserve"> member had disease progression on or after platinum based chemotherapy</w:t>
      </w:r>
      <w:r w:rsidRPr="00846AC6">
        <w:t>.</w:t>
      </w:r>
    </w:p>
    <w:p w14:paraId="63781517" w14:textId="50EE603D" w:rsidR="00E26806" w:rsidRPr="00846AC6" w:rsidRDefault="00E26806" w:rsidP="00592DE0">
      <w:pPr>
        <w:pStyle w:val="ListParagraph"/>
        <w:numPr>
          <w:ilvl w:val="1"/>
          <w:numId w:val="21"/>
        </w:numPr>
      </w:pPr>
      <w:r w:rsidRPr="00846AC6">
        <w:t xml:space="preserve">The requested medication will be used as </w:t>
      </w:r>
      <w:r w:rsidR="00D54800" w:rsidRPr="00846AC6">
        <w:t xml:space="preserve">a </w:t>
      </w:r>
      <w:r w:rsidRPr="00846AC6">
        <w:t>single agen</w:t>
      </w:r>
      <w:r w:rsidR="00D54800" w:rsidRPr="00846AC6">
        <w:t>t</w:t>
      </w:r>
      <w:r w:rsidRPr="00846AC6">
        <w:t>.</w:t>
      </w:r>
    </w:p>
    <w:p w14:paraId="4705E95A" w14:textId="31C18A53" w:rsidR="00E26806" w:rsidRPr="00846AC6" w:rsidRDefault="00E26806" w:rsidP="0091539F">
      <w:pPr>
        <w:pStyle w:val="ListParagraph"/>
      </w:pPr>
      <w:r w:rsidRPr="00846AC6">
        <w:t>Authorization of 3 months (for up to 3 cycles total) may be granted for neoadjuvant treatment of resectable non-small cell lung cancer (NSCLC) in combination with platinum</w:t>
      </w:r>
      <w:r w:rsidR="005F43BB" w:rsidRPr="00846AC6">
        <w:t xml:space="preserve"> based</w:t>
      </w:r>
      <w:r w:rsidRPr="00846AC6">
        <w:t xml:space="preserve"> chemotherapy</w:t>
      </w:r>
      <w:r w:rsidR="0091539F" w:rsidRPr="00846AC6">
        <w:t xml:space="preserve"> when there are no EGFR mutations or ALK rearrangements</w:t>
      </w:r>
      <w:r w:rsidRPr="00846AC6">
        <w:t>.</w:t>
      </w:r>
    </w:p>
    <w:p w14:paraId="5E2C623A" w14:textId="69FADFFA" w:rsidR="001F7152" w:rsidRPr="00846AC6" w:rsidRDefault="001F7152" w:rsidP="001F7152">
      <w:pPr>
        <w:pStyle w:val="ListParagraph"/>
      </w:pPr>
      <w:r w:rsidRPr="00846AC6">
        <w:t xml:space="preserve">Authorization of </w:t>
      </w:r>
      <w:r w:rsidR="00ED3FD1" w:rsidRPr="00846AC6">
        <w:t>6</w:t>
      </w:r>
      <w:r w:rsidRPr="00846AC6">
        <w:t xml:space="preserve"> months may be granted for neoadjuvant</w:t>
      </w:r>
      <w:r w:rsidR="00CC04C3" w:rsidRPr="00846AC6">
        <w:t xml:space="preserve"> and adjuvant</w:t>
      </w:r>
      <w:r w:rsidRPr="00846AC6">
        <w:t xml:space="preserve"> treatment of resectable non-small cell lung cancer (NSCLC) when both of the following </w:t>
      </w:r>
      <w:r w:rsidR="00902DD2" w:rsidRPr="00846AC6">
        <w:t>criteria</w:t>
      </w:r>
      <w:r w:rsidRPr="00846AC6">
        <w:t xml:space="preserve"> are met:</w:t>
      </w:r>
    </w:p>
    <w:p w14:paraId="67C1273B" w14:textId="5CF880FB" w:rsidR="001F7152" w:rsidRPr="00846AC6" w:rsidRDefault="001F7152" w:rsidP="001F7152">
      <w:pPr>
        <w:pStyle w:val="ListParagraph"/>
        <w:numPr>
          <w:ilvl w:val="1"/>
          <w:numId w:val="21"/>
        </w:numPr>
      </w:pPr>
      <w:r w:rsidRPr="00846AC6">
        <w:t>There are no EGFR mutations or ALK rearrangements</w:t>
      </w:r>
      <w:r w:rsidR="00902DD2" w:rsidRPr="00846AC6">
        <w:t>.</w:t>
      </w:r>
    </w:p>
    <w:p w14:paraId="780AEC4E" w14:textId="6A1A0011" w:rsidR="001F7152" w:rsidRPr="00846AC6" w:rsidRDefault="001F7152" w:rsidP="001F7152">
      <w:pPr>
        <w:pStyle w:val="ListParagraph"/>
        <w:numPr>
          <w:ilvl w:val="1"/>
          <w:numId w:val="21"/>
        </w:numPr>
      </w:pPr>
      <w:r w:rsidRPr="00846AC6">
        <w:t>The requested medication is used in combination with platinum</w:t>
      </w:r>
      <w:r w:rsidR="005F43BB" w:rsidRPr="00846AC6">
        <w:t xml:space="preserve"> based</w:t>
      </w:r>
      <w:r w:rsidRPr="00846AC6">
        <w:t xml:space="preserve"> chemotherapy (for up to 4 cycles total), followed by single agent adjuvant therapy (for up to 13 cycles)</w:t>
      </w:r>
      <w:r w:rsidR="00902DD2" w:rsidRPr="00846AC6">
        <w:t>.</w:t>
      </w:r>
    </w:p>
    <w:p w14:paraId="518D04BD" w14:textId="035A41C2" w:rsidR="00E26806" w:rsidRPr="00846AC6" w:rsidRDefault="00E26806" w:rsidP="00592DE0">
      <w:pPr>
        <w:pStyle w:val="Heading3"/>
      </w:pPr>
      <w:r w:rsidRPr="00846AC6">
        <w:t>Head and Neck Cancer</w:t>
      </w:r>
      <w:r w:rsidRPr="00846AC6">
        <w:rPr>
          <w:vertAlign w:val="superscript"/>
        </w:rPr>
        <w:t>1</w:t>
      </w:r>
    </w:p>
    <w:p w14:paraId="29FBA12D" w14:textId="670A97AB" w:rsidR="00E26806" w:rsidRPr="00846AC6" w:rsidRDefault="00E26806" w:rsidP="00592DE0">
      <w:pPr>
        <w:pStyle w:val="BodyText"/>
      </w:pPr>
      <w:r w:rsidRPr="00846AC6">
        <w:t xml:space="preserve">Authorization of 6 months may be granted for treatment of </w:t>
      </w:r>
      <w:r w:rsidR="002D5CE1" w:rsidRPr="00846AC6">
        <w:t xml:space="preserve">squamous cell </w:t>
      </w:r>
      <w:r w:rsidRPr="00846AC6">
        <w:t>head and neck c</w:t>
      </w:r>
      <w:r w:rsidR="002D5CE1" w:rsidRPr="00846AC6">
        <w:t>arcinoma when all</w:t>
      </w:r>
      <w:r w:rsidRPr="00846AC6">
        <w:t xml:space="preserve"> of the following criteria</w:t>
      </w:r>
      <w:r w:rsidR="002D5CE1" w:rsidRPr="00846AC6">
        <w:t xml:space="preserve"> are met</w:t>
      </w:r>
      <w:r w:rsidRPr="00846AC6">
        <w:t>:</w:t>
      </w:r>
    </w:p>
    <w:p w14:paraId="3562FF02" w14:textId="0DB2C1ED" w:rsidR="00E26806" w:rsidRPr="00846AC6" w:rsidRDefault="002D5CE1" w:rsidP="00E26806">
      <w:pPr>
        <w:pStyle w:val="ListParagraph"/>
      </w:pPr>
      <w:r w:rsidRPr="00846AC6">
        <w:t>The member has</w:t>
      </w:r>
      <w:r w:rsidR="00E26806" w:rsidRPr="00846AC6">
        <w:t xml:space="preserve"> recurrent or metastatic disease.</w:t>
      </w:r>
    </w:p>
    <w:p w14:paraId="5ABEB30F" w14:textId="51AD0A22" w:rsidR="002D5CE1" w:rsidRPr="00846AC6" w:rsidRDefault="002D5CE1" w:rsidP="002D5CE1">
      <w:pPr>
        <w:pStyle w:val="ListParagraph"/>
      </w:pPr>
      <w:r w:rsidRPr="00846AC6">
        <w:t>The member had disease progression on or after platinum based chemotherapy.</w:t>
      </w:r>
    </w:p>
    <w:p w14:paraId="357BB760" w14:textId="553FE9DD" w:rsidR="002D5CE1" w:rsidRPr="00846AC6" w:rsidRDefault="002D5CE1" w:rsidP="002D5CE1">
      <w:pPr>
        <w:pStyle w:val="ListParagraph"/>
      </w:pPr>
      <w:r w:rsidRPr="00846AC6">
        <w:t xml:space="preserve">The requested medication will be used as a single agent. </w:t>
      </w:r>
    </w:p>
    <w:p w14:paraId="2FFD6985" w14:textId="12961F22" w:rsidR="00E26806" w:rsidRPr="00846AC6" w:rsidRDefault="00E26806" w:rsidP="00592DE0">
      <w:pPr>
        <w:pStyle w:val="Heading3"/>
      </w:pPr>
      <w:r w:rsidRPr="00846AC6">
        <w:t>Urothelial Carcinoma</w:t>
      </w:r>
      <w:r w:rsidRPr="00846AC6">
        <w:rPr>
          <w:vertAlign w:val="superscript"/>
        </w:rPr>
        <w:t>1</w:t>
      </w:r>
    </w:p>
    <w:p w14:paraId="27C5E5AA" w14:textId="18CAB788" w:rsidR="00E26806" w:rsidRPr="00846AC6" w:rsidRDefault="00E26806" w:rsidP="00E26806">
      <w:pPr>
        <w:pStyle w:val="ListParagraph"/>
      </w:pPr>
      <w:r w:rsidRPr="00846AC6">
        <w:t>Authorization of 6 months may be granted in combination with gemcitabine and cisplatin for up to 6 cycles fo</w:t>
      </w:r>
      <w:r w:rsidR="00304B03" w:rsidRPr="00846AC6">
        <w:t xml:space="preserve">r </w:t>
      </w:r>
      <w:r w:rsidR="0091539F" w:rsidRPr="00846AC6">
        <w:t xml:space="preserve">first-line </w:t>
      </w:r>
      <w:r w:rsidR="00304B03" w:rsidRPr="00846AC6">
        <w:t>treatment of unresectable or metastatic urothelial car</w:t>
      </w:r>
      <w:r w:rsidR="00057310" w:rsidRPr="00846AC6">
        <w:t>c</w:t>
      </w:r>
      <w:r w:rsidR="00304B03" w:rsidRPr="00846AC6">
        <w:t>inoma</w:t>
      </w:r>
      <w:r w:rsidRPr="00846AC6">
        <w:t>.</w:t>
      </w:r>
    </w:p>
    <w:p w14:paraId="6E087622" w14:textId="33EFA935" w:rsidR="00E26806" w:rsidRPr="00846AC6" w:rsidRDefault="00E26806" w:rsidP="00E26806">
      <w:pPr>
        <w:pStyle w:val="ListParagraph"/>
      </w:pPr>
      <w:r w:rsidRPr="00846AC6">
        <w:t xml:space="preserve">Authorization of 6 months may be granted as a single agent for treatment of </w:t>
      </w:r>
      <w:r w:rsidR="00304B03" w:rsidRPr="00846AC6">
        <w:t>urothelial car</w:t>
      </w:r>
      <w:r w:rsidR="00057310" w:rsidRPr="00846AC6">
        <w:t>c</w:t>
      </w:r>
      <w:r w:rsidR="00304B03" w:rsidRPr="00846AC6">
        <w:t xml:space="preserve">inoma </w:t>
      </w:r>
      <w:r w:rsidRPr="00846AC6">
        <w:t>when any of the following conditions are met:</w:t>
      </w:r>
    </w:p>
    <w:p w14:paraId="55A8EC36" w14:textId="1922E53C" w:rsidR="00E26806" w:rsidRPr="00846AC6" w:rsidRDefault="00597200" w:rsidP="00592DE0">
      <w:pPr>
        <w:pStyle w:val="ListParagraph"/>
        <w:numPr>
          <w:ilvl w:val="1"/>
          <w:numId w:val="21"/>
        </w:numPr>
      </w:pPr>
      <w:r w:rsidRPr="00846AC6">
        <w:t>The requested medication will be used to treat locally advanced or metastatic disease</w:t>
      </w:r>
      <w:r w:rsidR="000F5245" w:rsidRPr="00846AC6">
        <w:t xml:space="preserve"> in members who:</w:t>
      </w:r>
    </w:p>
    <w:p w14:paraId="4415AAEA" w14:textId="6C4E9C24" w:rsidR="000F5245" w:rsidRPr="00846AC6" w:rsidRDefault="000F5245" w:rsidP="000F5245">
      <w:pPr>
        <w:pStyle w:val="ListParagraph"/>
        <w:numPr>
          <w:ilvl w:val="2"/>
          <w:numId w:val="21"/>
        </w:numPr>
      </w:pPr>
      <w:r w:rsidRPr="00846AC6">
        <w:t>have disease progression during or following platinum-containing chemotherapy.</w:t>
      </w:r>
    </w:p>
    <w:p w14:paraId="08C03A8C" w14:textId="39DCF277" w:rsidR="000F5245" w:rsidRPr="00846AC6" w:rsidRDefault="000F5245" w:rsidP="000F5245">
      <w:pPr>
        <w:pStyle w:val="ListParagraph"/>
        <w:numPr>
          <w:ilvl w:val="2"/>
          <w:numId w:val="21"/>
        </w:numPr>
      </w:pPr>
      <w:r w:rsidRPr="00846AC6">
        <w:t>have disease progression within 12 months of neoadjuvant or adjuvant treatment with platinum-containing chemotherapy.</w:t>
      </w:r>
    </w:p>
    <w:p w14:paraId="4C7AC92E" w14:textId="723EC6A6" w:rsidR="00E26806" w:rsidRPr="00846AC6" w:rsidRDefault="00304B03" w:rsidP="00592DE0">
      <w:pPr>
        <w:pStyle w:val="ListParagraph"/>
        <w:numPr>
          <w:ilvl w:val="1"/>
          <w:numId w:val="21"/>
        </w:numPr>
      </w:pPr>
      <w:r w:rsidRPr="00846AC6">
        <w:t xml:space="preserve">The requested medication </w:t>
      </w:r>
      <w:r w:rsidR="000F5245" w:rsidRPr="00846AC6">
        <w:t>will be</w:t>
      </w:r>
      <w:r w:rsidRPr="00846AC6">
        <w:t xml:space="preserve"> used as</w:t>
      </w:r>
      <w:r w:rsidR="00E26806" w:rsidRPr="00846AC6">
        <w:t xml:space="preserve"> adjuvant therapy in members who are at high risk of recurrence after undergoing </w:t>
      </w:r>
      <w:r w:rsidR="00CC04C3" w:rsidRPr="00846AC6">
        <w:t xml:space="preserve">radical </w:t>
      </w:r>
      <w:r w:rsidR="00E26806" w:rsidRPr="00846AC6">
        <w:t>resection.</w:t>
      </w:r>
    </w:p>
    <w:p w14:paraId="4BD3EBB8" w14:textId="62D6427B" w:rsidR="00E26806" w:rsidRPr="00846AC6" w:rsidRDefault="00E26806" w:rsidP="00B058C1">
      <w:pPr>
        <w:pStyle w:val="Heading3"/>
      </w:pPr>
      <w:r w:rsidRPr="00846AC6">
        <w:t>Colorectal Cancer</w:t>
      </w:r>
      <w:r w:rsidRPr="00846AC6">
        <w:rPr>
          <w:vertAlign w:val="superscript"/>
        </w:rPr>
        <w:t>1</w:t>
      </w:r>
    </w:p>
    <w:p w14:paraId="062931CD" w14:textId="7BD3234F" w:rsidR="00F7437B" w:rsidRPr="00846AC6" w:rsidRDefault="00E26806" w:rsidP="00B058C1">
      <w:pPr>
        <w:pStyle w:val="BodyText"/>
      </w:pPr>
      <w:r w:rsidRPr="00846AC6">
        <w:t xml:space="preserve">Authorization of 6 months may be granted </w:t>
      </w:r>
      <w:r w:rsidR="00F7437B" w:rsidRPr="00846AC6">
        <w:t xml:space="preserve">as a single agent </w:t>
      </w:r>
      <w:r w:rsidRPr="00846AC6">
        <w:t xml:space="preserve">for treatment of </w:t>
      </w:r>
      <w:r w:rsidR="00F7437B" w:rsidRPr="00846AC6">
        <w:t xml:space="preserve">microsatellite instability-high (MSI-H) or mismatch repair deficient (dMMR) metastatic </w:t>
      </w:r>
      <w:r w:rsidRPr="00846AC6">
        <w:t>colorectal cancer</w:t>
      </w:r>
      <w:r w:rsidR="00F7437B" w:rsidRPr="00846AC6">
        <w:t xml:space="preserve"> when the disease has progressed following treatment with a fluoropyrimidine, oxaliplatin, and irinotecan.</w:t>
      </w:r>
    </w:p>
    <w:p w14:paraId="684E739F" w14:textId="1C855074" w:rsidR="00E26806" w:rsidRPr="00846AC6" w:rsidRDefault="00E26806" w:rsidP="00B058C1">
      <w:pPr>
        <w:pStyle w:val="Heading3"/>
      </w:pPr>
      <w:r w:rsidRPr="00846AC6">
        <w:t>Hepatocellular Carcinoma</w:t>
      </w:r>
      <w:r w:rsidRPr="00846AC6">
        <w:rPr>
          <w:vertAlign w:val="superscript"/>
        </w:rPr>
        <w:t>1</w:t>
      </w:r>
    </w:p>
    <w:p w14:paraId="24B67E45" w14:textId="5056FDDC" w:rsidR="00E26806" w:rsidRPr="00846AC6" w:rsidRDefault="00E26806" w:rsidP="00B058C1">
      <w:pPr>
        <w:pStyle w:val="BodyText"/>
      </w:pPr>
      <w:r w:rsidRPr="00846AC6">
        <w:t>Authorization of 6 months may be granted as a single agent for treatment of hepatocellular carcinoma</w:t>
      </w:r>
      <w:r w:rsidR="00EC7EB6" w:rsidRPr="00846AC6">
        <w:t xml:space="preserve"> when member has been previously treated with sorafenib and following treatment with intravenous nivolumab and ipilimumab</w:t>
      </w:r>
      <w:r w:rsidRPr="00846AC6">
        <w:t>.</w:t>
      </w:r>
    </w:p>
    <w:p w14:paraId="7CD65974" w14:textId="3842E8D8" w:rsidR="00E26806" w:rsidRPr="00846AC6" w:rsidRDefault="00E26806" w:rsidP="007C3491">
      <w:pPr>
        <w:pStyle w:val="Heading3"/>
      </w:pPr>
      <w:r w:rsidRPr="00846AC6">
        <w:t xml:space="preserve">Esophageal </w:t>
      </w:r>
      <w:r w:rsidR="000C51D6" w:rsidRPr="00846AC6">
        <w:t>Carcinoma</w:t>
      </w:r>
      <w:r w:rsidRPr="00846AC6">
        <w:rPr>
          <w:vertAlign w:val="superscript"/>
        </w:rPr>
        <w:t>1</w:t>
      </w:r>
    </w:p>
    <w:p w14:paraId="6B3E2922" w14:textId="77777777" w:rsidR="00D6516A" w:rsidRPr="00846AC6" w:rsidRDefault="00D6516A" w:rsidP="00D6516A">
      <w:pPr>
        <w:pStyle w:val="ListParagraph"/>
      </w:pPr>
      <w:r w:rsidRPr="00846AC6">
        <w:t>Authorization of 6 months may be granted as a single agent for adjuvant treatment of completely resected esophageal or gastroesophageal junction cancer with residual pathologic disease in members who have received neoadjuvant chemoradiotherapy (CRT).</w:t>
      </w:r>
    </w:p>
    <w:p w14:paraId="113A80FA" w14:textId="4C19D122" w:rsidR="00D6516A" w:rsidRPr="00846AC6" w:rsidRDefault="00E26806" w:rsidP="00D6516A">
      <w:pPr>
        <w:pStyle w:val="ListParagraph"/>
      </w:pPr>
      <w:r w:rsidRPr="00846AC6">
        <w:t xml:space="preserve">Authorization of 6 months may be granted </w:t>
      </w:r>
      <w:r w:rsidR="00D6516A" w:rsidRPr="00846AC6">
        <w:t xml:space="preserve">as a single agent </w:t>
      </w:r>
      <w:r w:rsidRPr="00846AC6">
        <w:t xml:space="preserve">for treatment of </w:t>
      </w:r>
      <w:r w:rsidR="00D6516A" w:rsidRPr="00846AC6">
        <w:t>unresectable advanced, recurrent, or metastatic esophageal squamous cell carcinoma (ESCC) after prior fluoropyrimidine- and platinum-based chemotherapy.</w:t>
      </w:r>
    </w:p>
    <w:p w14:paraId="2CB1102B" w14:textId="69CBBBD7" w:rsidR="00D6516A" w:rsidRPr="00846AC6" w:rsidRDefault="00D6516A" w:rsidP="000C51D6">
      <w:pPr>
        <w:pStyle w:val="ListParagraph"/>
      </w:pPr>
      <w:r w:rsidRPr="00846AC6">
        <w:t>Authorization of 6 months may be granted in combination with fluoropyrimidine- and platinum-containing chemotherapy, for first-line treatment of unresectable advanced or metastatic ESCC.</w:t>
      </w:r>
    </w:p>
    <w:p w14:paraId="5726F1AB" w14:textId="31D60782" w:rsidR="00E26806" w:rsidRPr="00846AC6" w:rsidRDefault="0091539F" w:rsidP="00FB638E">
      <w:pPr>
        <w:pStyle w:val="Heading3"/>
      </w:pPr>
      <w:r w:rsidRPr="00846AC6">
        <w:t>Gastric Cancer, Gastroesophageal Junction Cancer, Esophageal Adenocarcinoma</w:t>
      </w:r>
      <w:r w:rsidR="00E26806" w:rsidRPr="00846AC6">
        <w:rPr>
          <w:vertAlign w:val="superscript"/>
        </w:rPr>
        <w:t>1</w:t>
      </w:r>
    </w:p>
    <w:p w14:paraId="30583BE7" w14:textId="1F279D58" w:rsidR="000852A4" w:rsidRPr="00846AC6" w:rsidRDefault="00E26806" w:rsidP="00EE0EE6">
      <w:pPr>
        <w:pStyle w:val="BodyText"/>
      </w:pPr>
      <w:r w:rsidRPr="00846AC6">
        <w:t xml:space="preserve">Authorization of 6 months may be granted </w:t>
      </w:r>
      <w:r w:rsidR="00EE0EE6" w:rsidRPr="00846AC6">
        <w:t xml:space="preserve">in combination with fluoropyrimidine- and platinum-containing chemotherapy </w:t>
      </w:r>
      <w:r w:rsidRPr="00846AC6">
        <w:t xml:space="preserve">for treatment of </w:t>
      </w:r>
      <w:bookmarkStart w:id="2" w:name="_Hlk184909894"/>
      <w:r w:rsidR="00EE0EE6" w:rsidRPr="00846AC6">
        <w:t>advanced or metastatic gastric cancer, gastroesophageal junction cancer, and esophageal adenocarcinoma.</w:t>
      </w:r>
    </w:p>
    <w:bookmarkEnd w:id="2"/>
    <w:p w14:paraId="3A643EC3" w14:textId="5E41D561" w:rsidR="00A501AC" w:rsidRPr="00846AC6" w:rsidRDefault="00A501AC" w:rsidP="00545448">
      <w:pPr>
        <w:pStyle w:val="Heading2"/>
        <w:tabs>
          <w:tab w:val="left" w:pos="9410"/>
        </w:tabs>
      </w:pPr>
      <w:r w:rsidRPr="00846AC6">
        <w:t>Continuation of Therapy</w:t>
      </w:r>
    </w:p>
    <w:p w14:paraId="602D6E46" w14:textId="447912BF" w:rsidR="00551BB4" w:rsidRPr="00846AC6" w:rsidRDefault="00551BB4" w:rsidP="008E3E82">
      <w:pPr>
        <w:pStyle w:val="Heading3"/>
      </w:pPr>
      <w:r w:rsidRPr="00846AC6">
        <w:t>Adjuvant treatment of melanoma</w:t>
      </w:r>
    </w:p>
    <w:p w14:paraId="49EC63AC" w14:textId="4D74589B" w:rsidR="00551BB4" w:rsidRPr="00846AC6" w:rsidRDefault="00551BB4" w:rsidP="00551BB4">
      <w:pPr>
        <w:pStyle w:val="BodyText"/>
      </w:pPr>
      <w:r w:rsidRPr="00846AC6">
        <w:t>Authorization of 6 months may be granted (up to 12 months total) for continued treatment in members requesting reauthorization for melanoma who have not experienced disease recurrence or unacceptable toxicity.</w:t>
      </w:r>
    </w:p>
    <w:p w14:paraId="2121D65C" w14:textId="0B66C7C9" w:rsidR="00551BB4" w:rsidRPr="00846AC6" w:rsidRDefault="00551BB4" w:rsidP="008E3E82">
      <w:pPr>
        <w:pStyle w:val="Heading3"/>
      </w:pPr>
      <w:r w:rsidRPr="00846AC6">
        <w:t>Urothelial carcinoma</w:t>
      </w:r>
    </w:p>
    <w:p w14:paraId="2A295294" w14:textId="26DB64DF" w:rsidR="00551BB4" w:rsidRPr="00846AC6" w:rsidRDefault="00551BB4" w:rsidP="008E3E82">
      <w:pPr>
        <w:pStyle w:val="ListParagraph"/>
      </w:pPr>
      <w:r w:rsidRPr="00846AC6">
        <w:t>Authorization of 6 months may be granted (up to 12 months total) for continued treatment in members requesting reauthorization for adjuvant treatment of urothelial carcinoma who have not experienced disease recurrence or unacceptable toxicity.</w:t>
      </w:r>
    </w:p>
    <w:p w14:paraId="0E51B25D" w14:textId="49F5EDF4" w:rsidR="00551BB4" w:rsidRPr="00846AC6" w:rsidRDefault="00551BB4" w:rsidP="008E3E82">
      <w:pPr>
        <w:pStyle w:val="ListParagraph"/>
      </w:pPr>
      <w:r w:rsidRPr="00846AC6">
        <w:t xml:space="preserve">Authorization of 6 months may be granted (up to 24 months total) for continued treatment in members requesting reauthorization for </w:t>
      </w:r>
      <w:r w:rsidR="004070DA" w:rsidRPr="00846AC6">
        <w:t xml:space="preserve">first line treatment of </w:t>
      </w:r>
      <w:r w:rsidRPr="00846AC6">
        <w:t xml:space="preserve">urothelial carcinoma when the requested medication is used in combination with gemcitabine and cisplatin for up to 6 cycles followed by </w:t>
      </w:r>
      <w:r w:rsidR="00846AC6">
        <w:t>single agent</w:t>
      </w:r>
      <w:r w:rsidRPr="00846AC6">
        <w:t xml:space="preserve"> maintenance therapy when the member has not experienced disease progression or unacceptable toxicity.</w:t>
      </w:r>
    </w:p>
    <w:p w14:paraId="44C4122B" w14:textId="73D10300" w:rsidR="00551BB4" w:rsidRPr="00846AC6" w:rsidRDefault="00551BB4" w:rsidP="008E3E82">
      <w:pPr>
        <w:pStyle w:val="Heading3"/>
      </w:pPr>
      <w:r w:rsidRPr="00846AC6">
        <w:t>Non-small cell lung cancer</w:t>
      </w:r>
    </w:p>
    <w:p w14:paraId="685018AB" w14:textId="346CFA22" w:rsidR="00EC41B0" w:rsidRPr="00846AC6" w:rsidRDefault="00551BB4" w:rsidP="00EC41B0">
      <w:pPr>
        <w:pStyle w:val="BodyText"/>
        <w:numPr>
          <w:ilvl w:val="0"/>
          <w:numId w:val="32"/>
        </w:numPr>
      </w:pPr>
      <w:r w:rsidRPr="00846AC6">
        <w:t xml:space="preserve">Authorization of 6 months may be granted for continued treatment in members requesting reauthorization for </w:t>
      </w:r>
      <w:r w:rsidR="00CC04C3" w:rsidRPr="00846AC6">
        <w:t xml:space="preserve">metastatic </w:t>
      </w:r>
      <w:r w:rsidRPr="00846AC6">
        <w:t xml:space="preserve">non-small cell lung cancer </w:t>
      </w:r>
      <w:r w:rsidR="00EC41B0" w:rsidRPr="00846AC6">
        <w:t xml:space="preserve">(NSCLC) </w:t>
      </w:r>
      <w:r w:rsidRPr="00846AC6">
        <w:t>when there is no evidence of unacceptable toxicity or disease progression while on the current regimen.</w:t>
      </w:r>
      <w:bookmarkStart w:id="3" w:name="_Hlk182489670"/>
    </w:p>
    <w:p w14:paraId="24D155A7" w14:textId="3820EBB6" w:rsidR="00EC41B0" w:rsidRPr="00846AC6" w:rsidRDefault="00CC04C3" w:rsidP="00EC41B0">
      <w:pPr>
        <w:pStyle w:val="BodyText"/>
        <w:numPr>
          <w:ilvl w:val="0"/>
          <w:numId w:val="32"/>
        </w:numPr>
      </w:pPr>
      <w:r w:rsidRPr="00846AC6">
        <w:t>Authorization of 3 months of therapy total (up to 3 cycles total) may be granted for n</w:t>
      </w:r>
      <w:r w:rsidR="00551BB4" w:rsidRPr="00846AC6">
        <w:t xml:space="preserve">eoadjuvant treatment of </w:t>
      </w:r>
      <w:r w:rsidR="00EC41B0" w:rsidRPr="00846AC6">
        <w:t xml:space="preserve">resectable </w:t>
      </w:r>
      <w:r w:rsidR="00551BB4" w:rsidRPr="00846AC6">
        <w:t>NSCLC</w:t>
      </w:r>
      <w:r w:rsidR="002F1931" w:rsidRPr="00846AC6">
        <w:t xml:space="preserve"> when there is no evidence of unacceptable toxicity or disease progression while on the current regimen</w:t>
      </w:r>
      <w:r w:rsidR="00551BB4" w:rsidRPr="00846AC6">
        <w:t>.</w:t>
      </w:r>
      <w:bookmarkEnd w:id="3"/>
    </w:p>
    <w:p w14:paraId="30F9C713" w14:textId="4B5E2D99" w:rsidR="00551BB4" w:rsidRPr="00846AC6" w:rsidRDefault="00922A33" w:rsidP="00987F42">
      <w:pPr>
        <w:pStyle w:val="BodyText"/>
        <w:numPr>
          <w:ilvl w:val="0"/>
          <w:numId w:val="32"/>
        </w:numPr>
      </w:pPr>
      <w:bookmarkStart w:id="4" w:name="_Hlk182558830"/>
      <w:r w:rsidRPr="00846AC6">
        <w:t>Authorization of 6 months may be granted for n</w:t>
      </w:r>
      <w:r w:rsidR="00EC41B0" w:rsidRPr="00846AC6">
        <w:t>eoadjuvant</w:t>
      </w:r>
      <w:r w:rsidR="00212065" w:rsidRPr="00846AC6">
        <w:t xml:space="preserve"> and adjuvant</w:t>
      </w:r>
      <w:r w:rsidR="00EC41B0" w:rsidRPr="00846AC6">
        <w:t xml:space="preserve"> treatment of resectable NSCLC</w:t>
      </w:r>
      <w:r w:rsidRPr="00846AC6">
        <w:t xml:space="preserve"> (up to 4 cycles in combinat</w:t>
      </w:r>
      <w:r w:rsidR="002F1931" w:rsidRPr="00846AC6">
        <w:t>i</w:t>
      </w:r>
      <w:r w:rsidRPr="00846AC6">
        <w:t>on with chemotherapy, followed by single agent adjuvant treatment up to 13 cycles)</w:t>
      </w:r>
      <w:r w:rsidR="002F1931" w:rsidRPr="00846AC6">
        <w:t xml:space="preserve"> when there is no evidence of unacceptable toxicity or disease progression while on the current regimen</w:t>
      </w:r>
      <w:r w:rsidRPr="00846AC6">
        <w:t>.</w:t>
      </w:r>
    </w:p>
    <w:bookmarkEnd w:id="4"/>
    <w:p w14:paraId="18CFD985" w14:textId="020F2D7A" w:rsidR="00551BB4" w:rsidRPr="00846AC6" w:rsidRDefault="00551BB4" w:rsidP="008E3E82">
      <w:pPr>
        <w:pStyle w:val="Heading3"/>
      </w:pPr>
      <w:r w:rsidRPr="00846AC6">
        <w:t>Renal Cell Carcinoma</w:t>
      </w:r>
    </w:p>
    <w:p w14:paraId="78D8700C" w14:textId="635A83F4" w:rsidR="00551BB4" w:rsidRPr="00846AC6" w:rsidRDefault="00551BB4" w:rsidP="00551BB4">
      <w:pPr>
        <w:pStyle w:val="BodyText"/>
      </w:pPr>
      <w:r w:rsidRPr="00846AC6">
        <w:t>Authorization of 6 months may be granted (up to 24 months total</w:t>
      </w:r>
      <w:r w:rsidR="00774C85" w:rsidRPr="00846AC6">
        <w:t xml:space="preserve"> when used as a single agent</w:t>
      </w:r>
      <w:r w:rsidR="00CA4429" w:rsidRPr="00846AC6">
        <w:t xml:space="preserve">) </w:t>
      </w:r>
      <w:r w:rsidRPr="00846AC6">
        <w:t>for continued treatment in members requesting reauthorization for renal cell carcinoma when there is no evidence of unacceptable toxicity or disease progression while on the current regimen.</w:t>
      </w:r>
    </w:p>
    <w:p w14:paraId="269C831E" w14:textId="0D037187" w:rsidR="004070DA" w:rsidRPr="00846AC6" w:rsidRDefault="004070DA" w:rsidP="00551BB4">
      <w:pPr>
        <w:pStyle w:val="BodyText"/>
        <w:rPr>
          <w:bCs/>
          <w:sz w:val="32"/>
          <w:szCs w:val="32"/>
        </w:rPr>
      </w:pPr>
      <w:r w:rsidRPr="00846AC6">
        <w:rPr>
          <w:bCs/>
          <w:sz w:val="32"/>
          <w:szCs w:val="32"/>
        </w:rPr>
        <w:t>Esophageal Squamous Cell Carcinoma, Gastric Cancer, Gastroesophageal Junction Cancer, Esophageal Adenocarcinoma</w:t>
      </w:r>
    </w:p>
    <w:p w14:paraId="7D7B07F3" w14:textId="02F1F759" w:rsidR="00212065" w:rsidRPr="00846AC6" w:rsidRDefault="00551BB4" w:rsidP="0023260A">
      <w:pPr>
        <w:pStyle w:val="BodyText"/>
        <w:numPr>
          <w:ilvl w:val="0"/>
          <w:numId w:val="37"/>
        </w:numPr>
      </w:pPr>
      <w:r w:rsidRPr="00846AC6">
        <w:t>Authorization of 6 months may be granted</w:t>
      </w:r>
      <w:r w:rsidR="00212065" w:rsidRPr="00846AC6">
        <w:t xml:space="preserve"> (up to 24 months total)</w:t>
      </w:r>
      <w:r w:rsidRPr="00846AC6">
        <w:t xml:space="preserve"> </w:t>
      </w:r>
      <w:bookmarkStart w:id="5" w:name="_Hlk187399161"/>
      <w:r w:rsidR="00212065" w:rsidRPr="00846AC6">
        <w:t>for continued treatment in members requesting reauthorization for esophageal squamous cell carcinoma in combination with fluoropyrimidine- and platinum-containing chemotherapy when there is no evidence of unacceptable toxicity or disease progression while on the current regimen.</w:t>
      </w:r>
    </w:p>
    <w:p w14:paraId="1BA05FBF" w14:textId="5E8105DF" w:rsidR="00212065" w:rsidRPr="00846AC6" w:rsidRDefault="00212065" w:rsidP="0023260A">
      <w:pPr>
        <w:pStyle w:val="BodyText"/>
        <w:numPr>
          <w:ilvl w:val="0"/>
          <w:numId w:val="37"/>
        </w:numPr>
      </w:pPr>
      <w:r w:rsidRPr="00846AC6">
        <w:t xml:space="preserve">Authorization of 6 months may be granted (up to 24 months total) for continued treatment in members requesting reauthorization for gastric cancer, gastroesophageal junction cancer, and esophageal adenocarcinoma when there is no evidence of unacceptable toxicity or disease progression while on the current regimen.  </w:t>
      </w:r>
      <w:r w:rsidR="0023260A" w:rsidRPr="00846AC6">
        <w:t>A</w:t>
      </w:r>
      <w:r w:rsidRPr="00846AC6">
        <w:t>djuvant treatment of resected esophage</w:t>
      </w:r>
      <w:r w:rsidR="0023260A" w:rsidRPr="00846AC6">
        <w:t>al</w:t>
      </w:r>
      <w:r w:rsidRPr="00846AC6">
        <w:t xml:space="preserve"> or gastroesophageal junction cancer will be limited to </w:t>
      </w:r>
      <w:r w:rsidR="0023260A" w:rsidRPr="00846AC6">
        <w:t>12 months total therapy.</w:t>
      </w:r>
    </w:p>
    <w:bookmarkEnd w:id="5"/>
    <w:p w14:paraId="010BFB04" w14:textId="425ADAB9" w:rsidR="00551BB4" w:rsidRPr="00846AC6" w:rsidRDefault="00551BB4" w:rsidP="008E3E82">
      <w:pPr>
        <w:pStyle w:val="Heading3"/>
      </w:pPr>
      <w:r w:rsidRPr="00846AC6">
        <w:t>All other indications</w:t>
      </w:r>
    </w:p>
    <w:p w14:paraId="32C8905D" w14:textId="34B35068" w:rsidR="00A501AC" w:rsidRPr="00846AC6" w:rsidRDefault="00551BB4" w:rsidP="00551BB4">
      <w:pPr>
        <w:pStyle w:val="BodyText"/>
      </w:pPr>
      <w:r w:rsidRPr="00846AC6">
        <w:t xml:space="preserve">Authorization of 6 months may be granted for continued treatment in members requesting reauthorization for all other indications listed in </w:t>
      </w:r>
      <w:r w:rsidR="00613112" w:rsidRPr="00846AC6">
        <w:t>the coverage criteria section</w:t>
      </w:r>
      <w:r w:rsidRPr="00846AC6">
        <w:t xml:space="preserve"> when there is no evidence of unacceptable toxicity or disease progression while on the current regimen.</w:t>
      </w:r>
    </w:p>
    <w:p w14:paraId="0A275F8B" w14:textId="6679D428" w:rsidR="000E0438" w:rsidRPr="00846AC6" w:rsidRDefault="000E0438" w:rsidP="000E0438">
      <w:pPr>
        <w:pStyle w:val="Heading2"/>
      </w:pPr>
      <w:r w:rsidRPr="00846AC6">
        <w:t>References</w:t>
      </w:r>
    </w:p>
    <w:p w14:paraId="13EF8D37" w14:textId="5E966B92" w:rsidR="008E3E82" w:rsidRPr="00846AC6" w:rsidRDefault="008E3E82" w:rsidP="008E3E82">
      <w:pPr>
        <w:pStyle w:val="ReferenceOrdered"/>
      </w:pPr>
      <w:proofErr w:type="spellStart"/>
      <w:r w:rsidRPr="00846AC6">
        <w:t>Opdivo</w:t>
      </w:r>
      <w:proofErr w:type="spellEnd"/>
      <w:r w:rsidR="00B85944" w:rsidRPr="00846AC6">
        <w:t xml:space="preserve"> </w:t>
      </w:r>
      <w:proofErr w:type="spellStart"/>
      <w:r w:rsidR="00B85944" w:rsidRPr="00846AC6">
        <w:t>Qvantig</w:t>
      </w:r>
      <w:proofErr w:type="spellEnd"/>
      <w:r w:rsidRPr="00846AC6">
        <w:t xml:space="preserve"> [package insert]. Princeton, NJ: Bristol-Myers Squibb Company; </w:t>
      </w:r>
      <w:r w:rsidR="00B85944" w:rsidRPr="00846AC6">
        <w:t>December</w:t>
      </w:r>
      <w:r w:rsidR="004675B7" w:rsidRPr="00846AC6">
        <w:t xml:space="preserve"> </w:t>
      </w:r>
      <w:r w:rsidRPr="00846AC6">
        <w:t>2024.</w:t>
      </w:r>
    </w:p>
    <w:p w14:paraId="0D76D170" w14:textId="5478B1A9" w:rsidR="003429F4" w:rsidRPr="003429F4" w:rsidRDefault="00D450AE" w:rsidP="00987F42">
      <w:pPr>
        <w:pStyle w:val="ReferenceOrdered"/>
      </w:pPr>
      <w:r w:rsidRPr="00846AC6">
        <w:t>The NCCN Drugs &amp; Biologics Compendium® © 202</w:t>
      </w:r>
      <w:r w:rsidR="00813AEC" w:rsidRPr="00846AC6">
        <w:t>5</w:t>
      </w:r>
      <w:r w:rsidRPr="00846AC6">
        <w:t xml:space="preserve"> National Comprehensive Cancer Network, Inc. http://www.nccn.org. Accessed January 9, 2025.</w:t>
      </w:r>
    </w:p>
    <w:sectPr w:rsidR="003429F4" w:rsidRPr="003429F4" w:rsidSect="00003C1C">
      <w:headerReference w:type="default" r:id="rId12"/>
      <w:footerReference w:type="default" r:id="rId13"/>
      <w:footerReference w:type="first" r:id="rId14"/>
      <w:pgSz w:w="12240" w:h="15840" w:code="1"/>
      <w:pgMar w:top="900" w:right="720" w:bottom="990" w:left="720" w:header="720" w:footer="720"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D3672" w14:textId="77777777" w:rsidR="00D704FC" w:rsidRDefault="00D704FC">
      <w:r>
        <w:separator/>
      </w:r>
    </w:p>
  </w:endnote>
  <w:endnote w:type="continuationSeparator" w:id="0">
    <w:p w14:paraId="52C9796E" w14:textId="77777777" w:rsidR="00D704FC" w:rsidRDefault="00D704FC">
      <w:r>
        <w:continuationSeparator/>
      </w:r>
    </w:p>
  </w:endnote>
  <w:endnote w:type="continuationNotice" w:id="1">
    <w:p w14:paraId="53DCB8D1" w14:textId="77777777" w:rsidR="00D704FC" w:rsidRDefault="00D70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9434" w14:textId="1BB2D607" w:rsidR="004B4696" w:rsidRPr="00934F31" w:rsidRDefault="004B4696" w:rsidP="004B4696">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16CB7">
      <w:rPr>
        <w:rFonts w:cs="Arial"/>
        <w:noProof/>
        <w:snapToGrid w:val="0"/>
        <w:color w:val="000000"/>
        <w:sz w:val="16"/>
        <w:szCs w:val="16"/>
        <w:lang w:val="pt-BR"/>
      </w:rPr>
      <w:t>Opdivo Qvantig SGM 6795-A P2025_R.docx</w:t>
    </w:r>
    <w:r>
      <w:rPr>
        <w:rFonts w:cs="Arial"/>
        <w:noProof/>
        <w:snapToGrid w:val="0"/>
        <w:color w:val="000000"/>
        <w:sz w:val="16"/>
        <w:szCs w:val="16"/>
        <w:lang w:val="pt-BR"/>
      </w:rPr>
      <w:fldChar w:fldCharType="end"/>
    </w:r>
    <w:r w:rsidRPr="00934F31">
      <w:rPr>
        <w:rFonts w:cs="Arial"/>
        <w:noProof/>
        <w:snapToGrid w:val="0"/>
        <w:color w:val="000000"/>
        <w:sz w:val="16"/>
        <w:szCs w:val="16"/>
        <w:lang w:val="pt-BR"/>
      </w:rPr>
      <w:fldChar w:fldCharType="begin"/>
    </w:r>
    <w:r w:rsidRPr="00C56176">
      <w:rPr>
        <w:rFonts w:cs="Arial"/>
        <w:noProof/>
        <w:snapToGrid w:val="0"/>
        <w:color w:val="000000"/>
        <w:sz w:val="16"/>
        <w:szCs w:val="16"/>
      </w:rPr>
      <w:instrText xml:space="preserve"> FILENAME   \* MERGEFORMAT </w:instrText>
    </w:r>
    <w:r w:rsidR="00D719A9">
      <w:rPr>
        <w:rFonts w:cs="Arial"/>
        <w:noProof/>
        <w:snapToGrid w:val="0"/>
        <w:color w:val="000000"/>
        <w:sz w:val="16"/>
        <w:szCs w:val="16"/>
        <w:lang w:val="pt-BR"/>
      </w:rPr>
      <w:fldChar w:fldCharType="separate"/>
    </w:r>
    <w:r w:rsidRPr="00934F31">
      <w:rPr>
        <w:rFonts w:cs="Arial"/>
        <w:noProof/>
        <w:sz w:val="16"/>
        <w:szCs w:val="16"/>
      </w:rPr>
      <w:fldChar w:fldCharType="end"/>
    </w:r>
    <w:r w:rsidRPr="00C56176">
      <w:rPr>
        <w:rFonts w:cs="Arial"/>
        <w:snapToGrid w:val="0"/>
        <w:color w:val="000000"/>
        <w:sz w:val="16"/>
      </w:rPr>
      <w:tab/>
      <w:t>© 202</w:t>
    </w:r>
    <w:r w:rsidR="008B5023" w:rsidRPr="00C56176">
      <w:rPr>
        <w:rFonts w:cs="Arial"/>
        <w:snapToGrid w:val="0"/>
        <w:color w:val="000000"/>
        <w:sz w:val="16"/>
      </w:rPr>
      <w:t>5</w:t>
    </w:r>
    <w:r w:rsidRPr="00C56176">
      <w:rPr>
        <w:rFonts w:cs="Arial"/>
        <w:snapToGrid w:val="0"/>
        <w:color w:val="000000"/>
        <w:sz w:val="16"/>
      </w:rPr>
      <w:t xml:space="preserve"> CVS Caremark. </w:t>
    </w:r>
    <w:r w:rsidRPr="00934F31">
      <w:rPr>
        <w:rFonts w:cs="Arial"/>
        <w:snapToGrid w:val="0"/>
        <w:color w:val="000000"/>
        <w:sz w:val="16"/>
      </w:rPr>
      <w:t>All rights reserved.</w:t>
    </w:r>
  </w:p>
  <w:p w14:paraId="722372EB" w14:textId="77777777" w:rsidR="004B4696" w:rsidRPr="00934F31" w:rsidRDefault="004B4696" w:rsidP="004B4696">
    <w:pPr>
      <w:tabs>
        <w:tab w:val="center" w:pos="4320"/>
        <w:tab w:val="right" w:pos="8640"/>
      </w:tabs>
      <w:spacing w:after="200"/>
      <w:rPr>
        <w:rFonts w:cs="Arial"/>
        <w:sz w:val="16"/>
        <w:szCs w:val="16"/>
      </w:rPr>
    </w:pPr>
    <w:r w:rsidRPr="00934F31">
      <w:rPr>
        <w:rFonts w:cs="Arial"/>
        <w:sz w:val="16"/>
        <w:szCs w:val="16"/>
      </w:rPr>
      <w:t>This document contains c</w:t>
    </w:r>
    <w:r w:rsidRPr="00934F31">
      <w:rPr>
        <w:rFonts w:cs="Arial"/>
        <w:snapToGrid w:val="0"/>
        <w:sz w:val="16"/>
        <w:szCs w:val="16"/>
      </w:rPr>
      <w:t xml:space="preserve">onfidential and proprietary information of CVS Caremark and cannot be reproduced, distributed or printed without written permission from CVS Caremark. </w:t>
    </w:r>
    <w:r w:rsidRPr="00934F31">
      <w:rPr>
        <w:rFonts w:cs="Arial"/>
        <w:sz w:val="16"/>
        <w:szCs w:val="16"/>
      </w:rPr>
      <w:t xml:space="preserve">This document contains prescription brand name drugs that are trademarks or registered trademarks of pharmaceutical manufacturers that are not affiliated with </w:t>
    </w:r>
    <w:r w:rsidRPr="00934F31">
      <w:rPr>
        <w:rFonts w:cs="Arial"/>
        <w:snapToGrid w:val="0"/>
        <w:sz w:val="16"/>
        <w:szCs w:val="16"/>
      </w:rPr>
      <w:t>CVS Caremark</w:t>
    </w:r>
    <w:r w:rsidRPr="00934F31">
      <w:rPr>
        <w:rFonts w:cs="Arial"/>
        <w:sz w:val="16"/>
        <w:szCs w:val="16"/>
      </w:rPr>
      <w:t>.</w:t>
    </w:r>
  </w:p>
  <w:p w14:paraId="0AEF4A24" w14:textId="4A55C682" w:rsidR="00BA17EF" w:rsidRPr="00003C1C" w:rsidRDefault="004B4696" w:rsidP="00545448">
    <w:pPr>
      <w:autoSpaceDE w:val="0"/>
      <w:autoSpaceDN w:val="0"/>
      <w:adjustRightInd w:val="0"/>
      <w:jc w:val="center"/>
      <w:rPr>
        <w:sz w:val="16"/>
        <w:szCs w:val="16"/>
      </w:rPr>
    </w:pPr>
    <w:r w:rsidRPr="00934F31">
      <w:rPr>
        <w:rFonts w:cs="Arial"/>
        <w:sz w:val="16"/>
        <w:szCs w:val="16"/>
      </w:rPr>
      <w:fldChar w:fldCharType="begin"/>
    </w:r>
    <w:r w:rsidRPr="00934F31">
      <w:rPr>
        <w:rFonts w:cs="Arial"/>
        <w:sz w:val="16"/>
        <w:szCs w:val="16"/>
      </w:rPr>
      <w:instrText xml:space="preserve"> PAGE </w:instrText>
    </w:r>
    <w:r w:rsidRPr="00934F31">
      <w:rPr>
        <w:rFonts w:cs="Arial"/>
        <w:sz w:val="16"/>
        <w:szCs w:val="16"/>
      </w:rPr>
      <w:fldChar w:fldCharType="separate"/>
    </w:r>
    <w:r>
      <w:rPr>
        <w:rFonts w:cs="Arial"/>
        <w:sz w:val="16"/>
        <w:szCs w:val="16"/>
      </w:rPr>
      <w:t>1</w:t>
    </w:r>
    <w:r w:rsidRPr="00934F31">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C928" w14:textId="2758FD93" w:rsidR="004B4696" w:rsidRPr="00934F31" w:rsidRDefault="004B4696" w:rsidP="004B4696">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16CB7">
      <w:rPr>
        <w:rFonts w:cs="Arial"/>
        <w:noProof/>
        <w:snapToGrid w:val="0"/>
        <w:color w:val="000000"/>
        <w:sz w:val="16"/>
        <w:szCs w:val="16"/>
        <w:lang w:val="pt-BR"/>
      </w:rPr>
      <w:t>Opdivo Qvantig SGM 6795-A P2025_R.docx</w:t>
    </w:r>
    <w:r>
      <w:rPr>
        <w:rFonts w:cs="Arial"/>
        <w:noProof/>
        <w:snapToGrid w:val="0"/>
        <w:color w:val="000000"/>
        <w:sz w:val="16"/>
        <w:szCs w:val="16"/>
        <w:lang w:val="pt-BR"/>
      </w:rPr>
      <w:fldChar w:fldCharType="end"/>
    </w:r>
    <w:r w:rsidRPr="00934F31">
      <w:rPr>
        <w:rFonts w:cs="Arial"/>
        <w:noProof/>
        <w:snapToGrid w:val="0"/>
        <w:color w:val="000000"/>
        <w:sz w:val="16"/>
        <w:szCs w:val="16"/>
        <w:lang w:val="pt-BR"/>
      </w:rPr>
      <w:fldChar w:fldCharType="begin"/>
    </w:r>
    <w:r w:rsidRPr="00A417DA">
      <w:rPr>
        <w:rFonts w:cs="Arial"/>
        <w:noProof/>
        <w:snapToGrid w:val="0"/>
        <w:color w:val="000000"/>
        <w:sz w:val="16"/>
        <w:szCs w:val="16"/>
      </w:rPr>
      <w:instrText xml:space="preserve"> FILENAME   \* MERGEFORMAT </w:instrText>
    </w:r>
    <w:r w:rsidR="00D719A9">
      <w:rPr>
        <w:rFonts w:cs="Arial"/>
        <w:noProof/>
        <w:snapToGrid w:val="0"/>
        <w:color w:val="000000"/>
        <w:sz w:val="16"/>
        <w:szCs w:val="16"/>
        <w:lang w:val="pt-BR"/>
      </w:rPr>
      <w:fldChar w:fldCharType="separate"/>
    </w:r>
    <w:r w:rsidRPr="00934F31">
      <w:rPr>
        <w:rFonts w:cs="Arial"/>
        <w:noProof/>
        <w:sz w:val="16"/>
        <w:szCs w:val="16"/>
      </w:rPr>
      <w:fldChar w:fldCharType="end"/>
    </w:r>
    <w:r w:rsidRPr="00A417DA">
      <w:rPr>
        <w:rFonts w:cs="Arial"/>
        <w:snapToGrid w:val="0"/>
        <w:color w:val="000000"/>
        <w:sz w:val="16"/>
      </w:rPr>
      <w:tab/>
      <w:t>© 202</w:t>
    </w:r>
    <w:r w:rsidR="008B5023" w:rsidRPr="00A417DA">
      <w:rPr>
        <w:rFonts w:cs="Arial"/>
        <w:snapToGrid w:val="0"/>
        <w:color w:val="000000"/>
        <w:sz w:val="16"/>
      </w:rPr>
      <w:t>5</w:t>
    </w:r>
    <w:r w:rsidRPr="00A417DA">
      <w:rPr>
        <w:rFonts w:cs="Arial"/>
        <w:snapToGrid w:val="0"/>
        <w:color w:val="000000"/>
        <w:sz w:val="16"/>
      </w:rPr>
      <w:t xml:space="preserve"> CVS Caremark. </w:t>
    </w:r>
    <w:r w:rsidRPr="00934F31">
      <w:rPr>
        <w:rFonts w:cs="Arial"/>
        <w:snapToGrid w:val="0"/>
        <w:color w:val="000000"/>
        <w:sz w:val="16"/>
      </w:rPr>
      <w:t>All rights reserved.</w:t>
    </w:r>
  </w:p>
  <w:p w14:paraId="4037FD97" w14:textId="77777777" w:rsidR="004B4696" w:rsidRPr="00934F31" w:rsidRDefault="004B4696" w:rsidP="004B4696">
    <w:pPr>
      <w:tabs>
        <w:tab w:val="center" w:pos="4320"/>
        <w:tab w:val="right" w:pos="8640"/>
      </w:tabs>
      <w:spacing w:after="200"/>
      <w:rPr>
        <w:rFonts w:cs="Arial"/>
        <w:sz w:val="16"/>
        <w:szCs w:val="16"/>
      </w:rPr>
    </w:pPr>
    <w:r w:rsidRPr="00934F31">
      <w:rPr>
        <w:rFonts w:cs="Arial"/>
        <w:sz w:val="16"/>
        <w:szCs w:val="16"/>
      </w:rPr>
      <w:t>This document contains c</w:t>
    </w:r>
    <w:r w:rsidRPr="00934F31">
      <w:rPr>
        <w:rFonts w:cs="Arial"/>
        <w:snapToGrid w:val="0"/>
        <w:sz w:val="16"/>
        <w:szCs w:val="16"/>
      </w:rPr>
      <w:t xml:space="preserve">onfidential and proprietary information of CVS Caremark and cannot be reproduced, distributed or printed without written permission from CVS Caremark. </w:t>
    </w:r>
    <w:r w:rsidRPr="00934F31">
      <w:rPr>
        <w:rFonts w:cs="Arial"/>
        <w:sz w:val="16"/>
        <w:szCs w:val="16"/>
      </w:rPr>
      <w:t xml:space="preserve">This document contains prescription brand name drugs that are trademarks or registered trademarks of pharmaceutical manufacturers that are not affiliated with </w:t>
    </w:r>
    <w:r w:rsidRPr="00934F31">
      <w:rPr>
        <w:rFonts w:cs="Arial"/>
        <w:snapToGrid w:val="0"/>
        <w:sz w:val="16"/>
        <w:szCs w:val="16"/>
      </w:rPr>
      <w:t>CVS Caremark</w:t>
    </w:r>
    <w:r w:rsidRPr="00934F31">
      <w:rPr>
        <w:rFonts w:cs="Arial"/>
        <w:sz w:val="16"/>
        <w:szCs w:val="16"/>
      </w:rPr>
      <w:t>.</w:t>
    </w:r>
  </w:p>
  <w:p w14:paraId="2B8A74E0" w14:textId="6FBE7BA2" w:rsidR="00BA17EF" w:rsidRPr="00003C1C" w:rsidRDefault="004B4696" w:rsidP="00545448">
    <w:pPr>
      <w:autoSpaceDE w:val="0"/>
      <w:autoSpaceDN w:val="0"/>
      <w:adjustRightInd w:val="0"/>
      <w:jc w:val="center"/>
      <w:rPr>
        <w:sz w:val="16"/>
        <w:szCs w:val="16"/>
      </w:rPr>
    </w:pPr>
    <w:r w:rsidRPr="00934F31">
      <w:rPr>
        <w:rFonts w:cs="Arial"/>
        <w:sz w:val="16"/>
        <w:szCs w:val="16"/>
      </w:rPr>
      <w:fldChar w:fldCharType="begin"/>
    </w:r>
    <w:r w:rsidRPr="00934F31">
      <w:rPr>
        <w:rFonts w:cs="Arial"/>
        <w:sz w:val="16"/>
        <w:szCs w:val="16"/>
      </w:rPr>
      <w:instrText xml:space="preserve"> PAGE </w:instrText>
    </w:r>
    <w:r w:rsidRPr="00934F31">
      <w:rPr>
        <w:rFonts w:cs="Arial"/>
        <w:sz w:val="16"/>
        <w:szCs w:val="16"/>
      </w:rPr>
      <w:fldChar w:fldCharType="separate"/>
    </w:r>
    <w:r>
      <w:rPr>
        <w:rFonts w:cs="Arial"/>
        <w:sz w:val="16"/>
        <w:szCs w:val="16"/>
      </w:rPr>
      <w:t>1</w:t>
    </w:r>
    <w:r w:rsidRPr="00934F31">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F1B94" w14:textId="77777777" w:rsidR="00D704FC" w:rsidRDefault="00D704FC">
      <w:r>
        <w:separator/>
      </w:r>
    </w:p>
  </w:footnote>
  <w:footnote w:type="continuationSeparator" w:id="0">
    <w:p w14:paraId="46720723" w14:textId="77777777" w:rsidR="00D704FC" w:rsidRDefault="00D704FC">
      <w:r>
        <w:continuationSeparator/>
      </w:r>
    </w:p>
  </w:footnote>
  <w:footnote w:type="continuationNotice" w:id="1">
    <w:p w14:paraId="55CF6916" w14:textId="77777777" w:rsidR="00D704FC" w:rsidRDefault="00D704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B4696" w:rsidRPr="00BD1CC1" w14:paraId="0437A8FC" w14:textId="77777777" w:rsidTr="004F2AC8">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C35F9C" w14:textId="77777777" w:rsidR="004B4696" w:rsidRPr="00003C1C" w:rsidRDefault="004B4696" w:rsidP="004B4696">
          <w:pPr>
            <w:pStyle w:val="Header"/>
            <w:rPr>
              <w:rFonts w:cs="Arial"/>
              <w:sz w:val="16"/>
              <w:szCs w:val="16"/>
            </w:rPr>
          </w:pPr>
          <w:r w:rsidRPr="00003C1C">
            <w:rPr>
              <w:rFonts w:cs="Arial"/>
              <w:sz w:val="16"/>
              <w:szCs w:val="16"/>
            </w:rPr>
            <w:t>Reference number(s)</w:t>
          </w:r>
        </w:p>
      </w:tc>
    </w:tr>
    <w:tr w:rsidR="004B4696" w:rsidRPr="00BD1CC1" w14:paraId="469D6F9A" w14:textId="77777777" w:rsidTr="004F2AC8">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65A7FB2" w14:textId="481381EB" w:rsidR="004B4696" w:rsidRPr="00003C1C" w:rsidRDefault="00262319" w:rsidP="004B4696">
          <w:pPr>
            <w:pStyle w:val="Header"/>
            <w:rPr>
              <w:rFonts w:cs="Arial"/>
              <w:sz w:val="16"/>
              <w:szCs w:val="16"/>
            </w:rPr>
          </w:pPr>
          <w:r w:rsidRPr="00003C1C">
            <w:rPr>
              <w:rFonts w:cs="Arial"/>
              <w:sz w:val="16"/>
              <w:szCs w:val="16"/>
            </w:rPr>
            <w:t>6795</w:t>
          </w:r>
          <w:r w:rsidR="004B4696" w:rsidRPr="00003C1C">
            <w:rPr>
              <w:rFonts w:cs="Arial"/>
              <w:sz w:val="16"/>
              <w:szCs w:val="16"/>
            </w:rPr>
            <w:t>-A</w:t>
          </w:r>
        </w:p>
        <w:p w14:paraId="38E1B9B0" w14:textId="77777777" w:rsidR="004B4696" w:rsidRPr="00003C1C" w:rsidRDefault="004B4696" w:rsidP="004B4696"/>
      </w:tc>
    </w:tr>
  </w:tbl>
  <w:p w14:paraId="3095247E" w14:textId="77777777" w:rsidR="004B4696" w:rsidRPr="007E66AD" w:rsidRDefault="004B4696" w:rsidP="004B4696">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C47513"/>
    <w:multiLevelType w:val="hybridMultilevel"/>
    <w:tmpl w:val="BA98D96C"/>
    <w:lvl w:ilvl="0" w:tplc="54908F3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8D4590"/>
    <w:multiLevelType w:val="hybridMultilevel"/>
    <w:tmpl w:val="BE38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65DF"/>
    <w:multiLevelType w:val="hybridMultilevel"/>
    <w:tmpl w:val="BCEE9D52"/>
    <w:lvl w:ilvl="0" w:tplc="83446D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E145EA"/>
    <w:multiLevelType w:val="hybridMultilevel"/>
    <w:tmpl w:val="D2245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E8A4D54"/>
    <w:multiLevelType w:val="hybridMultilevel"/>
    <w:tmpl w:val="CBE49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63633"/>
    <w:multiLevelType w:val="hybridMultilevel"/>
    <w:tmpl w:val="0A2A6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E4C44"/>
    <w:multiLevelType w:val="hybridMultilevel"/>
    <w:tmpl w:val="F1666508"/>
    <w:lvl w:ilvl="0" w:tplc="83B4F69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B15151"/>
    <w:multiLevelType w:val="hybridMultilevel"/>
    <w:tmpl w:val="A210D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7C49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1C5F9C"/>
    <w:multiLevelType w:val="hybridMultilevel"/>
    <w:tmpl w:val="611AB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041CA3"/>
    <w:multiLevelType w:val="hybridMultilevel"/>
    <w:tmpl w:val="9D1E0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565997"/>
    <w:multiLevelType w:val="hybridMultilevel"/>
    <w:tmpl w:val="7CA2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0"/>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1"/>
  </w:num>
  <w:num w:numId="17" w16cid:durableId="2128498676">
    <w:abstractNumId w:val="35"/>
  </w:num>
  <w:num w:numId="18" w16cid:durableId="299724409">
    <w:abstractNumId w:val="25"/>
  </w:num>
  <w:num w:numId="19" w16cid:durableId="214585573">
    <w:abstractNumId w:val="17"/>
  </w:num>
  <w:num w:numId="20" w16cid:durableId="1289816170">
    <w:abstractNumId w:val="19"/>
  </w:num>
  <w:num w:numId="21" w16cid:durableId="1066490929">
    <w:abstractNumId w:val="36"/>
  </w:num>
  <w:num w:numId="22" w16cid:durableId="1472481103">
    <w:abstractNumId w:val="28"/>
  </w:num>
  <w:num w:numId="23" w16cid:durableId="1997420403">
    <w:abstractNumId w:val="31"/>
  </w:num>
  <w:num w:numId="24" w16cid:durableId="33312838">
    <w:abstractNumId w:val="26"/>
  </w:num>
  <w:num w:numId="25" w16cid:durableId="507404939">
    <w:abstractNumId w:val="20"/>
  </w:num>
  <w:num w:numId="26" w16cid:durableId="2007902236">
    <w:abstractNumId w:val="32"/>
  </w:num>
  <w:num w:numId="27" w16cid:durableId="1622566135">
    <w:abstractNumId w:val="10"/>
  </w:num>
  <w:num w:numId="28" w16cid:durableId="1450012228">
    <w:abstractNumId w:val="12"/>
  </w:num>
  <w:num w:numId="29" w16cid:durableId="656883053">
    <w:abstractNumId w:val="13"/>
  </w:num>
  <w:num w:numId="30" w16cid:durableId="498734174">
    <w:abstractNumId w:val="18"/>
  </w:num>
  <w:num w:numId="31" w16cid:durableId="958609299">
    <w:abstractNumId w:val="23"/>
  </w:num>
  <w:num w:numId="32" w16cid:durableId="323437622">
    <w:abstractNumId w:val="16"/>
  </w:num>
  <w:num w:numId="33" w16cid:durableId="937979367">
    <w:abstractNumId w:val="29"/>
  </w:num>
  <w:num w:numId="34" w16cid:durableId="1247886204">
    <w:abstractNumId w:val="22"/>
  </w:num>
  <w:num w:numId="35" w16cid:durableId="1807434434">
    <w:abstractNumId w:val="27"/>
  </w:num>
  <w:num w:numId="36" w16cid:durableId="538250493">
    <w:abstractNumId w:val="33"/>
  </w:num>
  <w:num w:numId="37" w16cid:durableId="1803770091">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3C1C"/>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985"/>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6C5B"/>
    <w:rsid w:val="000273F0"/>
    <w:rsid w:val="00030714"/>
    <w:rsid w:val="00030C13"/>
    <w:rsid w:val="00030CF7"/>
    <w:rsid w:val="000311EC"/>
    <w:rsid w:val="000315F1"/>
    <w:rsid w:val="000318EA"/>
    <w:rsid w:val="0003203C"/>
    <w:rsid w:val="00032275"/>
    <w:rsid w:val="00032659"/>
    <w:rsid w:val="00032924"/>
    <w:rsid w:val="0003572F"/>
    <w:rsid w:val="00036079"/>
    <w:rsid w:val="00036603"/>
    <w:rsid w:val="00037636"/>
    <w:rsid w:val="00037A95"/>
    <w:rsid w:val="0004226E"/>
    <w:rsid w:val="000425B0"/>
    <w:rsid w:val="00043056"/>
    <w:rsid w:val="00043A17"/>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10"/>
    <w:rsid w:val="00057358"/>
    <w:rsid w:val="00057C68"/>
    <w:rsid w:val="00057CD8"/>
    <w:rsid w:val="0006037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77D8F"/>
    <w:rsid w:val="00080866"/>
    <w:rsid w:val="00081951"/>
    <w:rsid w:val="00081D8C"/>
    <w:rsid w:val="00081F48"/>
    <w:rsid w:val="00082357"/>
    <w:rsid w:val="00082825"/>
    <w:rsid w:val="00082CE9"/>
    <w:rsid w:val="000837A5"/>
    <w:rsid w:val="00083890"/>
    <w:rsid w:val="00083E63"/>
    <w:rsid w:val="00083FC9"/>
    <w:rsid w:val="000852A4"/>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1D6"/>
    <w:rsid w:val="000C5A6F"/>
    <w:rsid w:val="000C625F"/>
    <w:rsid w:val="000C62E8"/>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AC6"/>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2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3DE4"/>
    <w:rsid w:val="0011411C"/>
    <w:rsid w:val="00115519"/>
    <w:rsid w:val="001155D7"/>
    <w:rsid w:val="001156BC"/>
    <w:rsid w:val="001159B3"/>
    <w:rsid w:val="0011622E"/>
    <w:rsid w:val="00117495"/>
    <w:rsid w:val="0011772F"/>
    <w:rsid w:val="001202DD"/>
    <w:rsid w:val="00121BD0"/>
    <w:rsid w:val="00121F7F"/>
    <w:rsid w:val="00122472"/>
    <w:rsid w:val="001230E7"/>
    <w:rsid w:val="001244EB"/>
    <w:rsid w:val="00124BE8"/>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F54"/>
    <w:rsid w:val="0014405C"/>
    <w:rsid w:val="0014413C"/>
    <w:rsid w:val="00144795"/>
    <w:rsid w:val="001448D4"/>
    <w:rsid w:val="00144B23"/>
    <w:rsid w:val="00144BEB"/>
    <w:rsid w:val="00144CAE"/>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6843"/>
    <w:rsid w:val="001675AA"/>
    <w:rsid w:val="00170325"/>
    <w:rsid w:val="00173AB9"/>
    <w:rsid w:val="001747DB"/>
    <w:rsid w:val="00174F3B"/>
    <w:rsid w:val="00175A9A"/>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152"/>
    <w:rsid w:val="002017F4"/>
    <w:rsid w:val="0020279F"/>
    <w:rsid w:val="002027FF"/>
    <w:rsid w:val="00202A61"/>
    <w:rsid w:val="00202E2F"/>
    <w:rsid w:val="00203468"/>
    <w:rsid w:val="002036D7"/>
    <w:rsid w:val="002041BB"/>
    <w:rsid w:val="002041DB"/>
    <w:rsid w:val="00204EAC"/>
    <w:rsid w:val="002063D0"/>
    <w:rsid w:val="00206414"/>
    <w:rsid w:val="00206BBE"/>
    <w:rsid w:val="0020721A"/>
    <w:rsid w:val="002077DB"/>
    <w:rsid w:val="00207EA9"/>
    <w:rsid w:val="00210959"/>
    <w:rsid w:val="00211DE1"/>
    <w:rsid w:val="00212062"/>
    <w:rsid w:val="00212065"/>
    <w:rsid w:val="002125CE"/>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5E4"/>
    <w:rsid w:val="00226F8F"/>
    <w:rsid w:val="002277CB"/>
    <w:rsid w:val="002303E5"/>
    <w:rsid w:val="0023260A"/>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646"/>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39A4"/>
    <w:rsid w:val="00253E07"/>
    <w:rsid w:val="00254313"/>
    <w:rsid w:val="00254CF2"/>
    <w:rsid w:val="0025520A"/>
    <w:rsid w:val="002556AB"/>
    <w:rsid w:val="00255903"/>
    <w:rsid w:val="002568ED"/>
    <w:rsid w:val="00260902"/>
    <w:rsid w:val="00260A91"/>
    <w:rsid w:val="00261738"/>
    <w:rsid w:val="00261F81"/>
    <w:rsid w:val="00262319"/>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CB"/>
    <w:rsid w:val="00273FEB"/>
    <w:rsid w:val="002754FA"/>
    <w:rsid w:val="00276114"/>
    <w:rsid w:val="0027637A"/>
    <w:rsid w:val="002763A4"/>
    <w:rsid w:val="002765AF"/>
    <w:rsid w:val="00276AF9"/>
    <w:rsid w:val="00277212"/>
    <w:rsid w:val="002773DB"/>
    <w:rsid w:val="00277791"/>
    <w:rsid w:val="002777DF"/>
    <w:rsid w:val="00277971"/>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217"/>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5CE1"/>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931"/>
    <w:rsid w:val="002F23BB"/>
    <w:rsid w:val="002F2FA8"/>
    <w:rsid w:val="002F311C"/>
    <w:rsid w:val="002F335A"/>
    <w:rsid w:val="002F5F01"/>
    <w:rsid w:val="002F6300"/>
    <w:rsid w:val="0030016D"/>
    <w:rsid w:val="00301F62"/>
    <w:rsid w:val="00302DBD"/>
    <w:rsid w:val="003030D7"/>
    <w:rsid w:val="00304B03"/>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BAF"/>
    <w:rsid w:val="00341929"/>
    <w:rsid w:val="00341F47"/>
    <w:rsid w:val="00342365"/>
    <w:rsid w:val="003429F4"/>
    <w:rsid w:val="00343BE2"/>
    <w:rsid w:val="00343E90"/>
    <w:rsid w:val="00345503"/>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937"/>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0E4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289"/>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0DA"/>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31F"/>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5B7"/>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3A52"/>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696"/>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5C9"/>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4A"/>
    <w:rsid w:val="004E1CD5"/>
    <w:rsid w:val="004E1EEE"/>
    <w:rsid w:val="004E407D"/>
    <w:rsid w:val="004E4FB7"/>
    <w:rsid w:val="004E563C"/>
    <w:rsid w:val="004E5AA1"/>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6CB7"/>
    <w:rsid w:val="00517206"/>
    <w:rsid w:val="0052007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37FA4"/>
    <w:rsid w:val="00540230"/>
    <w:rsid w:val="00540519"/>
    <w:rsid w:val="0054060A"/>
    <w:rsid w:val="00540769"/>
    <w:rsid w:val="0054123C"/>
    <w:rsid w:val="00542E88"/>
    <w:rsid w:val="005444CF"/>
    <w:rsid w:val="00544D46"/>
    <w:rsid w:val="00545448"/>
    <w:rsid w:val="00545584"/>
    <w:rsid w:val="005462B1"/>
    <w:rsid w:val="0054721E"/>
    <w:rsid w:val="00547DC8"/>
    <w:rsid w:val="00551BB4"/>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0CF6"/>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0943"/>
    <w:rsid w:val="0059101B"/>
    <w:rsid w:val="00592474"/>
    <w:rsid w:val="0059286F"/>
    <w:rsid w:val="00592BC7"/>
    <w:rsid w:val="00592DE0"/>
    <w:rsid w:val="00592F54"/>
    <w:rsid w:val="00593641"/>
    <w:rsid w:val="00593EBB"/>
    <w:rsid w:val="00596960"/>
    <w:rsid w:val="005970A9"/>
    <w:rsid w:val="00597200"/>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D7FDD"/>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3BB"/>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112"/>
    <w:rsid w:val="00613278"/>
    <w:rsid w:val="006138E0"/>
    <w:rsid w:val="00613BFA"/>
    <w:rsid w:val="00614799"/>
    <w:rsid w:val="00615D0E"/>
    <w:rsid w:val="0061673E"/>
    <w:rsid w:val="00617744"/>
    <w:rsid w:val="00617950"/>
    <w:rsid w:val="00617BB8"/>
    <w:rsid w:val="00621772"/>
    <w:rsid w:val="00622770"/>
    <w:rsid w:val="00622801"/>
    <w:rsid w:val="00622BDF"/>
    <w:rsid w:val="0062320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271"/>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1DF7"/>
    <w:rsid w:val="006C3252"/>
    <w:rsid w:val="006C48F6"/>
    <w:rsid w:val="006C519A"/>
    <w:rsid w:val="006C52D4"/>
    <w:rsid w:val="006C5786"/>
    <w:rsid w:val="006C584B"/>
    <w:rsid w:val="006D00F3"/>
    <w:rsid w:val="006D0900"/>
    <w:rsid w:val="006D0FA8"/>
    <w:rsid w:val="006D1263"/>
    <w:rsid w:val="006D171C"/>
    <w:rsid w:val="006D21AA"/>
    <w:rsid w:val="006D23BA"/>
    <w:rsid w:val="006D24CA"/>
    <w:rsid w:val="006D341B"/>
    <w:rsid w:val="006D3542"/>
    <w:rsid w:val="006D42A3"/>
    <w:rsid w:val="006D4EA6"/>
    <w:rsid w:val="006D618E"/>
    <w:rsid w:val="006D62DA"/>
    <w:rsid w:val="006D662E"/>
    <w:rsid w:val="006D66E8"/>
    <w:rsid w:val="006D6E11"/>
    <w:rsid w:val="006D6FA0"/>
    <w:rsid w:val="006E05DA"/>
    <w:rsid w:val="006E0743"/>
    <w:rsid w:val="006E08C9"/>
    <w:rsid w:val="006E09C3"/>
    <w:rsid w:val="006E0D09"/>
    <w:rsid w:val="006E28B1"/>
    <w:rsid w:val="006E3E7B"/>
    <w:rsid w:val="006E3F80"/>
    <w:rsid w:val="006E423D"/>
    <w:rsid w:val="006E4C56"/>
    <w:rsid w:val="006E53FA"/>
    <w:rsid w:val="006E55CD"/>
    <w:rsid w:val="006E7677"/>
    <w:rsid w:val="006E7E43"/>
    <w:rsid w:val="006E7FCD"/>
    <w:rsid w:val="006F01E6"/>
    <w:rsid w:val="006F05FA"/>
    <w:rsid w:val="006F214B"/>
    <w:rsid w:val="006F2523"/>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4236"/>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864"/>
    <w:rsid w:val="007473CD"/>
    <w:rsid w:val="007475C6"/>
    <w:rsid w:val="00747C35"/>
    <w:rsid w:val="00751072"/>
    <w:rsid w:val="00751334"/>
    <w:rsid w:val="00751F45"/>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4C85"/>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A51"/>
    <w:rsid w:val="007B7B09"/>
    <w:rsid w:val="007B7C01"/>
    <w:rsid w:val="007C1B6C"/>
    <w:rsid w:val="007C29E1"/>
    <w:rsid w:val="007C2CEC"/>
    <w:rsid w:val="007C3391"/>
    <w:rsid w:val="007C3491"/>
    <w:rsid w:val="007C4D57"/>
    <w:rsid w:val="007C4F4F"/>
    <w:rsid w:val="007C5719"/>
    <w:rsid w:val="007C5812"/>
    <w:rsid w:val="007C70BD"/>
    <w:rsid w:val="007C74F4"/>
    <w:rsid w:val="007D1472"/>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684"/>
    <w:rsid w:val="007E11D7"/>
    <w:rsid w:val="007E1334"/>
    <w:rsid w:val="007E1AA0"/>
    <w:rsid w:val="007E1E4C"/>
    <w:rsid w:val="007E2C35"/>
    <w:rsid w:val="007E427E"/>
    <w:rsid w:val="007E450C"/>
    <w:rsid w:val="007E4AD4"/>
    <w:rsid w:val="007E5C16"/>
    <w:rsid w:val="007E5C40"/>
    <w:rsid w:val="007E66AD"/>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43B"/>
    <w:rsid w:val="008137C4"/>
    <w:rsid w:val="00813AEC"/>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46AC6"/>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200"/>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A79"/>
    <w:rsid w:val="00885EAA"/>
    <w:rsid w:val="00886A08"/>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023"/>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E82"/>
    <w:rsid w:val="008E40F9"/>
    <w:rsid w:val="008E4479"/>
    <w:rsid w:val="008E4958"/>
    <w:rsid w:val="008E4C31"/>
    <w:rsid w:val="008E510A"/>
    <w:rsid w:val="008E6B75"/>
    <w:rsid w:val="008E6C61"/>
    <w:rsid w:val="008E7659"/>
    <w:rsid w:val="008E7E6F"/>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2DD2"/>
    <w:rsid w:val="00903866"/>
    <w:rsid w:val="009050C0"/>
    <w:rsid w:val="0090528C"/>
    <w:rsid w:val="00905466"/>
    <w:rsid w:val="00905918"/>
    <w:rsid w:val="00905D51"/>
    <w:rsid w:val="00905F65"/>
    <w:rsid w:val="00906ED2"/>
    <w:rsid w:val="00907D99"/>
    <w:rsid w:val="00910119"/>
    <w:rsid w:val="0091015A"/>
    <w:rsid w:val="00911462"/>
    <w:rsid w:val="009116CB"/>
    <w:rsid w:val="0091183B"/>
    <w:rsid w:val="00911B53"/>
    <w:rsid w:val="00911B78"/>
    <w:rsid w:val="00912436"/>
    <w:rsid w:val="00914B83"/>
    <w:rsid w:val="0091539F"/>
    <w:rsid w:val="009159E4"/>
    <w:rsid w:val="009166D3"/>
    <w:rsid w:val="00916BA8"/>
    <w:rsid w:val="00917D8A"/>
    <w:rsid w:val="0092167E"/>
    <w:rsid w:val="00921E32"/>
    <w:rsid w:val="00921E89"/>
    <w:rsid w:val="00922097"/>
    <w:rsid w:val="009220E9"/>
    <w:rsid w:val="00922A33"/>
    <w:rsid w:val="00922DD4"/>
    <w:rsid w:val="00923E67"/>
    <w:rsid w:val="00923E96"/>
    <w:rsid w:val="00924B04"/>
    <w:rsid w:val="009255FA"/>
    <w:rsid w:val="00925647"/>
    <w:rsid w:val="00925D6B"/>
    <w:rsid w:val="0092652E"/>
    <w:rsid w:val="00926589"/>
    <w:rsid w:val="0092691D"/>
    <w:rsid w:val="00927612"/>
    <w:rsid w:val="009276D0"/>
    <w:rsid w:val="00927737"/>
    <w:rsid w:val="00930F9F"/>
    <w:rsid w:val="00930FF5"/>
    <w:rsid w:val="00931D1D"/>
    <w:rsid w:val="00931D32"/>
    <w:rsid w:val="009323E1"/>
    <w:rsid w:val="009324A8"/>
    <w:rsid w:val="00932532"/>
    <w:rsid w:val="00934A46"/>
    <w:rsid w:val="00935BC3"/>
    <w:rsid w:val="0093674D"/>
    <w:rsid w:val="00937266"/>
    <w:rsid w:val="00940629"/>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1D5"/>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87F42"/>
    <w:rsid w:val="009911F3"/>
    <w:rsid w:val="00991319"/>
    <w:rsid w:val="0099311D"/>
    <w:rsid w:val="00993552"/>
    <w:rsid w:val="00993CD7"/>
    <w:rsid w:val="00994865"/>
    <w:rsid w:val="00995A6D"/>
    <w:rsid w:val="00995DAD"/>
    <w:rsid w:val="00995F4D"/>
    <w:rsid w:val="00996726"/>
    <w:rsid w:val="00996EF4"/>
    <w:rsid w:val="009973BE"/>
    <w:rsid w:val="00997849"/>
    <w:rsid w:val="00997F17"/>
    <w:rsid w:val="009A0D72"/>
    <w:rsid w:val="009A0FE4"/>
    <w:rsid w:val="009A1144"/>
    <w:rsid w:val="009A1480"/>
    <w:rsid w:val="009A35FA"/>
    <w:rsid w:val="009A3D32"/>
    <w:rsid w:val="009A3DE5"/>
    <w:rsid w:val="009A53DE"/>
    <w:rsid w:val="009A5649"/>
    <w:rsid w:val="009A5C06"/>
    <w:rsid w:val="009A5F0C"/>
    <w:rsid w:val="009A6D30"/>
    <w:rsid w:val="009A75F3"/>
    <w:rsid w:val="009A78A9"/>
    <w:rsid w:val="009B0854"/>
    <w:rsid w:val="009B0ADA"/>
    <w:rsid w:val="009B0F2B"/>
    <w:rsid w:val="009B1482"/>
    <w:rsid w:val="009B1B86"/>
    <w:rsid w:val="009B35DC"/>
    <w:rsid w:val="009B3740"/>
    <w:rsid w:val="009B579E"/>
    <w:rsid w:val="009B5866"/>
    <w:rsid w:val="009B5A24"/>
    <w:rsid w:val="009B6153"/>
    <w:rsid w:val="009B7708"/>
    <w:rsid w:val="009B79CF"/>
    <w:rsid w:val="009C0A23"/>
    <w:rsid w:val="009C2E32"/>
    <w:rsid w:val="009C3C50"/>
    <w:rsid w:val="009C4B9D"/>
    <w:rsid w:val="009C4E1E"/>
    <w:rsid w:val="009C595B"/>
    <w:rsid w:val="009C6673"/>
    <w:rsid w:val="009C6CB5"/>
    <w:rsid w:val="009C6CFE"/>
    <w:rsid w:val="009C7D3E"/>
    <w:rsid w:val="009D0B0C"/>
    <w:rsid w:val="009D0C37"/>
    <w:rsid w:val="009D1974"/>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B0E"/>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5D0A"/>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0FE2"/>
    <w:rsid w:val="00A412F8"/>
    <w:rsid w:val="00A41637"/>
    <w:rsid w:val="00A417DA"/>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32D"/>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267"/>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6A3"/>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FF7"/>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4FDA"/>
    <w:rsid w:val="00AF525C"/>
    <w:rsid w:val="00AF56FA"/>
    <w:rsid w:val="00AF584B"/>
    <w:rsid w:val="00AF6487"/>
    <w:rsid w:val="00AF6F09"/>
    <w:rsid w:val="00B00963"/>
    <w:rsid w:val="00B0098D"/>
    <w:rsid w:val="00B01716"/>
    <w:rsid w:val="00B01BDE"/>
    <w:rsid w:val="00B02279"/>
    <w:rsid w:val="00B0282A"/>
    <w:rsid w:val="00B03227"/>
    <w:rsid w:val="00B038AD"/>
    <w:rsid w:val="00B038CA"/>
    <w:rsid w:val="00B03B5E"/>
    <w:rsid w:val="00B03B92"/>
    <w:rsid w:val="00B046B1"/>
    <w:rsid w:val="00B04801"/>
    <w:rsid w:val="00B0481F"/>
    <w:rsid w:val="00B04BD5"/>
    <w:rsid w:val="00B05534"/>
    <w:rsid w:val="00B058C1"/>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239"/>
    <w:rsid w:val="00B36321"/>
    <w:rsid w:val="00B37B0F"/>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6A6"/>
    <w:rsid w:val="00B55FE1"/>
    <w:rsid w:val="00B569FC"/>
    <w:rsid w:val="00B57430"/>
    <w:rsid w:val="00B574C8"/>
    <w:rsid w:val="00B57B4D"/>
    <w:rsid w:val="00B57C0E"/>
    <w:rsid w:val="00B61ED0"/>
    <w:rsid w:val="00B6319D"/>
    <w:rsid w:val="00B63FDB"/>
    <w:rsid w:val="00B648B6"/>
    <w:rsid w:val="00B64967"/>
    <w:rsid w:val="00B65538"/>
    <w:rsid w:val="00B65A18"/>
    <w:rsid w:val="00B65F8B"/>
    <w:rsid w:val="00B6611D"/>
    <w:rsid w:val="00B66383"/>
    <w:rsid w:val="00B66799"/>
    <w:rsid w:val="00B66C13"/>
    <w:rsid w:val="00B66D30"/>
    <w:rsid w:val="00B67932"/>
    <w:rsid w:val="00B67D19"/>
    <w:rsid w:val="00B70163"/>
    <w:rsid w:val="00B706AF"/>
    <w:rsid w:val="00B7134B"/>
    <w:rsid w:val="00B71665"/>
    <w:rsid w:val="00B72331"/>
    <w:rsid w:val="00B725FA"/>
    <w:rsid w:val="00B72DFD"/>
    <w:rsid w:val="00B73BA9"/>
    <w:rsid w:val="00B73FA7"/>
    <w:rsid w:val="00B74318"/>
    <w:rsid w:val="00B75EBA"/>
    <w:rsid w:val="00B76A92"/>
    <w:rsid w:val="00B76BCF"/>
    <w:rsid w:val="00B76C81"/>
    <w:rsid w:val="00B77B78"/>
    <w:rsid w:val="00B77D0A"/>
    <w:rsid w:val="00B8022C"/>
    <w:rsid w:val="00B80357"/>
    <w:rsid w:val="00B80AC8"/>
    <w:rsid w:val="00B81929"/>
    <w:rsid w:val="00B81FE6"/>
    <w:rsid w:val="00B8206A"/>
    <w:rsid w:val="00B827C8"/>
    <w:rsid w:val="00B83047"/>
    <w:rsid w:val="00B834A4"/>
    <w:rsid w:val="00B836B0"/>
    <w:rsid w:val="00B84072"/>
    <w:rsid w:val="00B84F18"/>
    <w:rsid w:val="00B853B4"/>
    <w:rsid w:val="00B8594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7EF"/>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0B0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5C7C"/>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C6C"/>
    <w:rsid w:val="00C53013"/>
    <w:rsid w:val="00C53D02"/>
    <w:rsid w:val="00C54C13"/>
    <w:rsid w:val="00C54D4A"/>
    <w:rsid w:val="00C54DF5"/>
    <w:rsid w:val="00C54E36"/>
    <w:rsid w:val="00C54E64"/>
    <w:rsid w:val="00C55C44"/>
    <w:rsid w:val="00C55C7E"/>
    <w:rsid w:val="00C56176"/>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891"/>
    <w:rsid w:val="00C72424"/>
    <w:rsid w:val="00C73E8B"/>
    <w:rsid w:val="00C74F5C"/>
    <w:rsid w:val="00C750BE"/>
    <w:rsid w:val="00C75C02"/>
    <w:rsid w:val="00C76758"/>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3A6D"/>
    <w:rsid w:val="00CA4298"/>
    <w:rsid w:val="00CA43AA"/>
    <w:rsid w:val="00CA4429"/>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47F"/>
    <w:rsid w:val="00CB7503"/>
    <w:rsid w:val="00CB7F0D"/>
    <w:rsid w:val="00CC04C3"/>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09"/>
    <w:rsid w:val="00CE76BE"/>
    <w:rsid w:val="00CF08AB"/>
    <w:rsid w:val="00CF0FEE"/>
    <w:rsid w:val="00CF2208"/>
    <w:rsid w:val="00CF2D11"/>
    <w:rsid w:val="00CF3649"/>
    <w:rsid w:val="00CF3A89"/>
    <w:rsid w:val="00CF3E91"/>
    <w:rsid w:val="00CF3FAD"/>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0AE"/>
    <w:rsid w:val="00D45515"/>
    <w:rsid w:val="00D45602"/>
    <w:rsid w:val="00D456BD"/>
    <w:rsid w:val="00D4581E"/>
    <w:rsid w:val="00D47412"/>
    <w:rsid w:val="00D500A7"/>
    <w:rsid w:val="00D50531"/>
    <w:rsid w:val="00D50BD5"/>
    <w:rsid w:val="00D50C10"/>
    <w:rsid w:val="00D520CD"/>
    <w:rsid w:val="00D5213B"/>
    <w:rsid w:val="00D5238D"/>
    <w:rsid w:val="00D52574"/>
    <w:rsid w:val="00D5331B"/>
    <w:rsid w:val="00D54800"/>
    <w:rsid w:val="00D5579C"/>
    <w:rsid w:val="00D56213"/>
    <w:rsid w:val="00D566EA"/>
    <w:rsid w:val="00D56FC3"/>
    <w:rsid w:val="00D578A8"/>
    <w:rsid w:val="00D6162B"/>
    <w:rsid w:val="00D64807"/>
    <w:rsid w:val="00D6516A"/>
    <w:rsid w:val="00D6549B"/>
    <w:rsid w:val="00D65533"/>
    <w:rsid w:val="00D665CC"/>
    <w:rsid w:val="00D67252"/>
    <w:rsid w:val="00D704FC"/>
    <w:rsid w:val="00D70C19"/>
    <w:rsid w:val="00D71176"/>
    <w:rsid w:val="00D719A9"/>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0488"/>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06"/>
    <w:rsid w:val="00E2682A"/>
    <w:rsid w:val="00E27447"/>
    <w:rsid w:val="00E3095F"/>
    <w:rsid w:val="00E30B43"/>
    <w:rsid w:val="00E3125B"/>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3CF"/>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49E6"/>
    <w:rsid w:val="00E9591C"/>
    <w:rsid w:val="00E95D04"/>
    <w:rsid w:val="00E9746A"/>
    <w:rsid w:val="00EA0296"/>
    <w:rsid w:val="00EA072E"/>
    <w:rsid w:val="00EA17D3"/>
    <w:rsid w:val="00EA1E1D"/>
    <w:rsid w:val="00EA2240"/>
    <w:rsid w:val="00EA35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2A5D"/>
    <w:rsid w:val="00EB3987"/>
    <w:rsid w:val="00EB3B44"/>
    <w:rsid w:val="00EB46B3"/>
    <w:rsid w:val="00EB4736"/>
    <w:rsid w:val="00EB4D2E"/>
    <w:rsid w:val="00EB5413"/>
    <w:rsid w:val="00EB548F"/>
    <w:rsid w:val="00EB54C7"/>
    <w:rsid w:val="00EB5639"/>
    <w:rsid w:val="00EB573B"/>
    <w:rsid w:val="00EB5C24"/>
    <w:rsid w:val="00EB5F51"/>
    <w:rsid w:val="00EB5F73"/>
    <w:rsid w:val="00EB65B3"/>
    <w:rsid w:val="00EB66EA"/>
    <w:rsid w:val="00EB6AEB"/>
    <w:rsid w:val="00EB711D"/>
    <w:rsid w:val="00EB73F2"/>
    <w:rsid w:val="00EC0CE4"/>
    <w:rsid w:val="00EC11FF"/>
    <w:rsid w:val="00EC26DE"/>
    <w:rsid w:val="00EC2860"/>
    <w:rsid w:val="00EC3FDF"/>
    <w:rsid w:val="00EC41B0"/>
    <w:rsid w:val="00EC44FD"/>
    <w:rsid w:val="00EC45A5"/>
    <w:rsid w:val="00EC47B6"/>
    <w:rsid w:val="00EC6842"/>
    <w:rsid w:val="00EC70C6"/>
    <w:rsid w:val="00EC714B"/>
    <w:rsid w:val="00EC7EB6"/>
    <w:rsid w:val="00EC7F26"/>
    <w:rsid w:val="00ED012B"/>
    <w:rsid w:val="00ED02F9"/>
    <w:rsid w:val="00ED0444"/>
    <w:rsid w:val="00ED04EC"/>
    <w:rsid w:val="00ED052F"/>
    <w:rsid w:val="00ED0E29"/>
    <w:rsid w:val="00ED28C4"/>
    <w:rsid w:val="00ED334E"/>
    <w:rsid w:val="00ED3A2A"/>
    <w:rsid w:val="00ED3FD1"/>
    <w:rsid w:val="00ED6038"/>
    <w:rsid w:val="00ED653F"/>
    <w:rsid w:val="00ED6550"/>
    <w:rsid w:val="00ED748E"/>
    <w:rsid w:val="00ED7D4A"/>
    <w:rsid w:val="00EE02E3"/>
    <w:rsid w:val="00EE07BA"/>
    <w:rsid w:val="00EE0D34"/>
    <w:rsid w:val="00EE0EE6"/>
    <w:rsid w:val="00EE1515"/>
    <w:rsid w:val="00EE27CF"/>
    <w:rsid w:val="00EE2BF1"/>
    <w:rsid w:val="00EE34FA"/>
    <w:rsid w:val="00EE50CE"/>
    <w:rsid w:val="00EE5CD7"/>
    <w:rsid w:val="00EE6B14"/>
    <w:rsid w:val="00EE781A"/>
    <w:rsid w:val="00EF0315"/>
    <w:rsid w:val="00EF1588"/>
    <w:rsid w:val="00EF1D12"/>
    <w:rsid w:val="00EF208E"/>
    <w:rsid w:val="00EF2256"/>
    <w:rsid w:val="00EF2B6D"/>
    <w:rsid w:val="00EF2C03"/>
    <w:rsid w:val="00EF3A69"/>
    <w:rsid w:val="00EF4108"/>
    <w:rsid w:val="00EF5295"/>
    <w:rsid w:val="00EF54D4"/>
    <w:rsid w:val="00EF581C"/>
    <w:rsid w:val="00EF6278"/>
    <w:rsid w:val="00EF7611"/>
    <w:rsid w:val="00EF7741"/>
    <w:rsid w:val="00EF78D0"/>
    <w:rsid w:val="00EF7C69"/>
    <w:rsid w:val="00F00080"/>
    <w:rsid w:val="00F00474"/>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90B"/>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236"/>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6EE"/>
    <w:rsid w:val="00F547DD"/>
    <w:rsid w:val="00F55113"/>
    <w:rsid w:val="00F554E0"/>
    <w:rsid w:val="00F56998"/>
    <w:rsid w:val="00F56BBE"/>
    <w:rsid w:val="00F57070"/>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678"/>
    <w:rsid w:val="00F729CF"/>
    <w:rsid w:val="00F72FC2"/>
    <w:rsid w:val="00F7437B"/>
    <w:rsid w:val="00F749A8"/>
    <w:rsid w:val="00F74F32"/>
    <w:rsid w:val="00F75C81"/>
    <w:rsid w:val="00F760BB"/>
    <w:rsid w:val="00F76A97"/>
    <w:rsid w:val="00F77CFC"/>
    <w:rsid w:val="00F803E8"/>
    <w:rsid w:val="00F810F2"/>
    <w:rsid w:val="00F81192"/>
    <w:rsid w:val="00F81513"/>
    <w:rsid w:val="00F81D51"/>
    <w:rsid w:val="00F81E83"/>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38E"/>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6EC4"/>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8A195695-9C1A-4C27-AD40-0D4D41A99B61}"/>
</file>

<file path=docProps/app.xml><?xml version="1.0" encoding="utf-8"?>
<Properties xmlns="http://schemas.openxmlformats.org/officeDocument/2006/extended-properties" xmlns:vt="http://schemas.openxmlformats.org/officeDocument/2006/docPropsVTypes">
  <Template>Normal.dotm</Template>
  <TotalTime>1</TotalTime>
  <Pages>7</Pages>
  <Words>2175</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Opdivo 1894-A SGM P2024a</vt:lpstr>
    </vt:vector>
  </TitlesOfParts>
  <Company>PCS Health Systems</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Opdivo Qvantig SGM 6795-A P2025_R</dc:title>
  <dc:subject/>
  <dc:creator>CVS Caremark</dc:creator>
  <cp:keywords/>
  <cp:lastModifiedBy>Huerta, Linda M</cp:lastModifiedBy>
  <cp:revision>2</cp:revision>
  <cp:lastPrinted>2018-01-09T05:01:00Z</cp:lastPrinted>
  <dcterms:created xsi:type="dcterms:W3CDTF">2025-01-17T23:31:00Z</dcterms:created>
  <dcterms:modified xsi:type="dcterms:W3CDTF">2025-01-17T23:31:00Z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